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13BB" w14:textId="77777777" w:rsidR="006C66C6" w:rsidRDefault="006C66C6" w:rsidP="006C66C6">
      <w:pPr>
        <w:jc w:val="center"/>
      </w:pPr>
      <w:r w:rsidRPr="00AF0419">
        <w:rPr>
          <w:rFonts w:ascii="Arial" w:hAnsi="Arial" w:cs="Arial"/>
          <w:b/>
          <w:sz w:val="24"/>
          <w:szCs w:val="24"/>
        </w:rPr>
        <w:t>Grille d’évaluation des soumissions</w:t>
      </w:r>
    </w:p>
    <w:tbl>
      <w:tblPr>
        <w:tblW w:w="1083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  <w:gridCol w:w="1509"/>
      </w:tblGrid>
      <w:tr w:rsidR="006C66C6" w14:paraId="46B65DC3" w14:textId="77777777" w:rsidTr="00723FF1">
        <w:trPr>
          <w:trHeight w:val="521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3DACF64" w14:textId="77777777" w:rsidR="006C66C6" w:rsidRDefault="006C66C6" w:rsidP="00723FF1">
            <w:pPr>
              <w:tabs>
                <w:tab w:val="left" w:pos="5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Critères de sélection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6C52FCBA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Pointage</w:t>
            </w:r>
          </w:p>
        </w:tc>
      </w:tr>
      <w:tr w:rsidR="006C66C6" w14:paraId="6F63708C" w14:textId="77777777" w:rsidTr="00723FF1">
        <w:trPr>
          <w:trHeight w:val="259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37D4C9" w14:textId="1D5E33ED" w:rsidR="006C66C6" w:rsidRPr="00D5308F" w:rsidRDefault="006C66C6" w:rsidP="00E94E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</w:rPr>
            </w:pPr>
            <w:r w:rsidRPr="00D5308F">
              <w:rPr>
                <w:rFonts w:ascii="Calibri" w:hAnsi="Calibri" w:cs="Calibri"/>
                <w:b/>
                <w:bCs/>
                <w:color w:val="000000"/>
              </w:rPr>
              <w:t xml:space="preserve">1. </w:t>
            </w:r>
            <w:r w:rsidR="00E94EC7" w:rsidRPr="00D5308F">
              <w:rPr>
                <w:rFonts w:ascii="Calibri" w:hAnsi="Calibri" w:cs="Calibri"/>
                <w:b/>
                <w:bCs/>
                <w:color w:val="000000"/>
              </w:rPr>
              <w:t xml:space="preserve">Expertise du soumissionnaire </w:t>
            </w:r>
          </w:p>
        </w:tc>
        <w:tc>
          <w:tcPr>
            <w:tcW w:w="1509" w:type="dxa"/>
            <w:tcBorders>
              <w:top w:val="nil"/>
              <w:left w:val="nil"/>
              <w:right w:val="single" w:sz="12" w:space="0" w:color="auto"/>
            </w:tcBorders>
          </w:tcPr>
          <w:p w14:paraId="41EAFFC8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/10</w:t>
            </w:r>
          </w:p>
        </w:tc>
      </w:tr>
      <w:tr w:rsidR="006C66C6" w14:paraId="28EA11B3" w14:textId="77777777" w:rsidTr="00723FF1">
        <w:trPr>
          <w:trHeight w:val="305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E1A358" w14:textId="6CCB4E09" w:rsidR="006C66C6" w:rsidRPr="00D5308F" w:rsidRDefault="007F59E4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Démonstration de bonnes réalisations</w:t>
            </w:r>
            <w:r w:rsidR="001A6380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nature comparable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4443CD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3C2EFB3C" w14:textId="77777777" w:rsidTr="00723FF1">
        <w:trPr>
          <w:trHeight w:val="319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B5CE2E" w14:textId="0D062EF6" w:rsidR="006C66C6" w:rsidRPr="00AD3A1C" w:rsidRDefault="00AC396E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3A1C">
              <w:rPr>
                <w:rFonts w:ascii="Calibri" w:hAnsi="Calibri" w:cs="Calibri"/>
                <w:color w:val="000000"/>
                <w:sz w:val="20"/>
                <w:szCs w:val="20"/>
              </w:rPr>
              <w:t>Échéancier</w:t>
            </w:r>
            <w:r w:rsidR="00AB742C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C725A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>de réalisation</w:t>
            </w:r>
            <w:r w:rsidR="00AD3A1C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C66C6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>(/2)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B37F7E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528F5403" w14:textId="77777777" w:rsidTr="00723FF1">
        <w:trPr>
          <w:trHeight w:val="348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690D60" w14:textId="0680CC23" w:rsidR="006C66C6" w:rsidRPr="00AD3A1C" w:rsidRDefault="009C3825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D3A1C">
              <w:rPr>
                <w:rFonts w:ascii="Calibri" w:hAnsi="Calibri" w:cs="Calibri"/>
                <w:color w:val="000000"/>
                <w:sz w:val="20"/>
                <w:szCs w:val="20"/>
              </w:rPr>
              <w:t>Expériences et projets des s</w:t>
            </w:r>
            <w:r w:rsidR="006272A4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>ous-traitant</w:t>
            </w:r>
            <w:r w:rsidR="006272A4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C66C6" w:rsidRPr="00AD3A1C">
              <w:rPr>
                <w:rFonts w:ascii="Calibri" w:hAnsi="Calibri" w:cs="Calibri"/>
                <w:color w:val="000000"/>
                <w:sz w:val="20"/>
                <w:szCs w:val="20"/>
              </w:rPr>
              <w:t>(/2)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33213F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5634537C" w14:textId="77777777" w:rsidTr="00723FF1">
        <w:trPr>
          <w:trHeight w:val="348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96E708" w14:textId="465A3751" w:rsidR="006C66C6" w:rsidRPr="00D5308F" w:rsidRDefault="007F59E4" w:rsidP="007F59E4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Démontre l’expertise de l’équipe d’i</w:t>
            </w:r>
            <w:r w:rsidR="006C66C6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nstallation selon les instructions du fabricant (/2)</w:t>
            </w:r>
            <w:r w:rsidR="001A6380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(si applicable)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2A05FB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7B0542BD" w14:textId="77777777" w:rsidTr="00723FF1">
        <w:trPr>
          <w:trHeight w:val="348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73AC11" w14:textId="77777777" w:rsidR="006C66C6" w:rsidRPr="00D5308F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Service après-vente et pièces de remplacement (/2)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9CD0DB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53F7C876" w14:textId="77777777" w:rsidTr="00723FF1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DE3D0E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 Garantie et qualité des produits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D9073E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/20</w:t>
            </w:r>
          </w:p>
        </w:tc>
      </w:tr>
      <w:tr w:rsidR="006C66C6" w14:paraId="31884458" w14:textId="77777777" w:rsidTr="00723FF1">
        <w:trPr>
          <w:trHeight w:val="506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D24922" w14:textId="7480D020" w:rsidR="006C66C6" w:rsidRPr="002524B7" w:rsidRDefault="006C66C6" w:rsidP="00723FF1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Garanties des matériaux composant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équipement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métaux, revêtement, quincaillerie, plastique, bois, cha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î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nes, câbles, ressorts, pièces mobiles, composantes électroniques, revêtement de surface 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incluant garantie UV (cf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uide d’achat)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(/15)</w:t>
            </w:r>
          </w:p>
        </w:tc>
        <w:tc>
          <w:tcPr>
            <w:tcW w:w="1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4C7745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64F72C12" w14:textId="77777777" w:rsidTr="00723FF1">
        <w:trPr>
          <w:trHeight w:val="289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B2B93C" w14:textId="77777777" w:rsidR="006C66C6" w:rsidRPr="002524B7" w:rsidRDefault="006C66C6" w:rsidP="00723FF1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Garantie des pièces de rechange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équivalentes (/3)</w:t>
            </w:r>
          </w:p>
        </w:tc>
        <w:tc>
          <w:tcPr>
            <w:tcW w:w="1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7927C3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6E8DC07F" w14:textId="77777777" w:rsidTr="00723FF1">
        <w:trPr>
          <w:trHeight w:val="535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628C45" w14:textId="5719CA1B" w:rsidR="006C66C6" w:rsidRPr="002524B7" w:rsidRDefault="006C66C6" w:rsidP="009D307B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Certification environnementale ou de qualité (ex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9D307B"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9D30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certification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pour matériaux recyclés, pour emballage et envoi, FCS pour bois, empreinte carbone, développement durable)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(/2)</w:t>
            </w:r>
          </w:p>
        </w:tc>
        <w:tc>
          <w:tcPr>
            <w:tcW w:w="1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AC3C2F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280D6A17" w14:textId="77777777" w:rsidTr="00723FF1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1EB7C7" w14:textId="77777777" w:rsidR="006C66C6" w:rsidRPr="009D79E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D79E6">
              <w:rPr>
                <w:rFonts w:ascii="Calibri" w:hAnsi="Calibri" w:cs="Calibri"/>
                <w:b/>
                <w:bCs/>
                <w:color w:val="000000"/>
              </w:rPr>
              <w:t>3. Structures proposées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87D4002" w14:textId="77777777" w:rsidR="006C66C6" w:rsidRPr="009D79E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79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/40 ou /45**</w:t>
            </w:r>
          </w:p>
        </w:tc>
      </w:tr>
      <w:tr w:rsidR="006C66C6" w14:paraId="07173DF7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ABB445" w14:textId="77777777" w:rsidR="006C66C6" w:rsidRPr="009D79E6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79E6">
              <w:rPr>
                <w:rFonts w:ascii="Calibri" w:hAnsi="Calibri" w:cs="Calibri"/>
                <w:color w:val="000000"/>
                <w:sz w:val="20"/>
                <w:szCs w:val="20"/>
              </w:rPr>
              <w:t>Accessibilité universelle des équipements proposés (/5) ou (/0*)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2F9295" w14:textId="77777777" w:rsidR="006C66C6" w:rsidRPr="009D79E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669C23AA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B0EC6C" w14:textId="77777777" w:rsidR="006C66C6" w:rsidRPr="009D79E6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79E6">
              <w:rPr>
                <w:rFonts w:ascii="Calibri" w:hAnsi="Calibri" w:cs="Calibri"/>
                <w:color w:val="000000"/>
                <w:sz w:val="20"/>
                <w:szCs w:val="20"/>
              </w:rPr>
              <w:t>Originalité des structures (/5) ou (/10*)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6AADD9" w14:textId="77777777" w:rsidR="006C66C6" w:rsidRPr="009D79E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64E50BD2" w14:textId="77777777" w:rsidTr="00723FF1">
        <w:trPr>
          <w:trHeight w:val="161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1115B1" w14:textId="77777777" w:rsidR="006C66C6" w:rsidRPr="009D79E6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79E6">
              <w:rPr>
                <w:rFonts w:ascii="Calibri" w:hAnsi="Calibri" w:cs="Calibri"/>
                <w:color w:val="000000"/>
                <w:sz w:val="20"/>
                <w:szCs w:val="20"/>
              </w:rPr>
              <w:t>Valeur ludique des composantes (cognitif, affectif, social, physique et moteur) (/15) (/20**)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79CE1E" w14:textId="77777777" w:rsidR="006C66C6" w:rsidRPr="009D79E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3C07CECE" w14:textId="77777777" w:rsidTr="00723FF1">
        <w:trPr>
          <w:trHeight w:val="391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035699" w14:textId="151023D5" w:rsidR="006C66C6" w:rsidRPr="002524B7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Complémentarité de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offre avec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ensemble des équipements du parc et des parcs environnants (parcs environnants si applicable)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1E0739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149960BB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780D" w14:textId="77777777" w:rsidR="006C66C6" w:rsidRPr="002524B7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524B7">
              <w:rPr>
                <w:rFonts w:ascii="Calibri" w:hAnsi="Calibri" w:cs="Calibri"/>
                <w:color w:val="000000"/>
                <w:sz w:val="20"/>
                <w:szCs w:val="20"/>
              </w:rPr>
              <w:t>Respect de la thématique imposée et intégration des composantes au contexte du parc (thématique si applicable)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(/10)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2B3B94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648B296B" w14:textId="77777777" w:rsidTr="00723FF1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208FBE" w14:textId="77777777" w:rsidR="006C66C6" w:rsidRPr="002524B7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524B7">
              <w:rPr>
                <w:b/>
              </w:rPr>
              <w:br w:type="page"/>
              <w:t xml:space="preserve">4. </w:t>
            </w:r>
            <w:r w:rsidRPr="002524B7">
              <w:rPr>
                <w:rFonts w:ascii="Calibri" w:hAnsi="Calibri" w:cs="Calibri"/>
                <w:b/>
                <w:bCs/>
                <w:color w:val="000000"/>
              </w:rPr>
              <w:t>Utilisation de l’espace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375381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Pr="006A5DC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6C6" w14:paraId="1E096049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C0D87E" w14:textId="2E44B719" w:rsidR="006C66C6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 de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aire disponible et 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espect des zones de protection et 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aires de circulation requises (/5)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3E45D3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66C6" w14:paraId="04AD0B8B" w14:textId="77777777" w:rsidTr="00723FF1">
        <w:trPr>
          <w:trHeight w:val="121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BF7F93" w14:textId="7BF357A4" w:rsidR="006C66C6" w:rsidRDefault="006C66C6" w:rsidP="00723FF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Utilisation optimale de l’espace (meilleure valeur ludique dans l’espace donné) (cf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uide d’achat) (/5)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8E06F1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66C6" w14:paraId="42590099" w14:textId="77777777" w:rsidTr="00723FF1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A08B9D" w14:textId="41761F45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 Clarté et précision</w:t>
            </w:r>
            <w:r w:rsidR="009B7D59">
              <w:rPr>
                <w:rFonts w:ascii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319081D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/5</w:t>
            </w:r>
          </w:p>
        </w:tc>
      </w:tr>
      <w:tr w:rsidR="006C66C6" w14:paraId="0D19F9CD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78D308" w14:textId="6B9A7B19" w:rsidR="00E549F3" w:rsidRPr="00E44019" w:rsidRDefault="006C66C6" w:rsidP="00E0758F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2817">
              <w:rPr>
                <w:rFonts w:ascii="Calibri" w:hAnsi="Calibri" w:cs="Calibri"/>
                <w:color w:val="000000"/>
                <w:sz w:val="20"/>
                <w:szCs w:val="20"/>
              </w:rPr>
              <w:t>Précision des documents fournis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44D7DD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66C6" w14:paraId="5F3EB6B0" w14:textId="77777777" w:rsidTr="00723FF1">
        <w:trPr>
          <w:trHeight w:val="478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0F002" w14:textId="3F9A9257" w:rsidR="006C66C6" w:rsidRPr="00E02817" w:rsidRDefault="006C66C6" w:rsidP="00723FF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2817">
              <w:rPr>
                <w:rFonts w:ascii="Calibri" w:hAnsi="Calibri" w:cs="Calibri"/>
                <w:color w:val="000000"/>
                <w:sz w:val="20"/>
                <w:szCs w:val="20"/>
              </w:rPr>
              <w:t>Clarté des spécifications techniques des structures et des plans ou illustrations fournies à l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E02817">
              <w:rPr>
                <w:rFonts w:ascii="Calibri" w:hAnsi="Calibri" w:cs="Calibri"/>
                <w:color w:val="000000"/>
                <w:sz w:val="20"/>
                <w:szCs w:val="20"/>
              </w:rPr>
              <w:t>échelle avec les dimensions spécifiées (cf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E02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point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E02817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</w:t>
            </w:r>
            <w:r w:rsidRPr="00E028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Plan et documents à remettre)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(/3)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5461F5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C66C6" w14:paraId="1123322B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F3711B" w14:textId="77777777" w:rsidR="006C66C6" w:rsidRPr="00E02817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02817">
              <w:rPr>
                <w:rFonts w:ascii="Calibri" w:hAnsi="Calibri" w:cs="Calibri"/>
                <w:b/>
                <w:bCs/>
                <w:color w:val="000000"/>
              </w:rPr>
              <w:t>6. Prix</w:t>
            </w:r>
          </w:p>
        </w:tc>
        <w:tc>
          <w:tcPr>
            <w:tcW w:w="1509" w:type="dxa"/>
            <w:tcBorders>
              <w:top w:val="nil"/>
              <w:left w:val="nil"/>
              <w:right w:val="single" w:sz="12" w:space="0" w:color="auto"/>
            </w:tcBorders>
          </w:tcPr>
          <w:p w14:paraId="2D46D341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Pr="009D79E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 ou /5**</w:t>
            </w:r>
          </w:p>
        </w:tc>
      </w:tr>
      <w:tr w:rsidR="006C66C6" w14:paraId="0160B29E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84F06" w14:textId="77777777" w:rsidR="006C66C6" w:rsidRPr="00E02817" w:rsidRDefault="006C66C6" w:rsidP="00723FF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proposé se situant entre le minimum et le maximum défini (/10) ou (/5**)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0C63E3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6C6" w14:paraId="03FB53C9" w14:textId="77777777" w:rsidTr="00723FF1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B0FEE2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 Appréciation générale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2F19BE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/5</w:t>
            </w:r>
          </w:p>
        </w:tc>
      </w:tr>
      <w:tr w:rsidR="006C66C6" w14:paraId="567DF493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C9FD9D" w14:textId="27ECDE50" w:rsidR="006C66C6" w:rsidRDefault="006C66C6" w:rsidP="00723FF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Équilibre de la qualité des produits dans </w:t>
            </w:r>
            <w:r w:rsidR="009B7D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leur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ensemble (/3)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1367B1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0BDB9370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C8E3C" w14:textId="77777777" w:rsidR="006C66C6" w:rsidRDefault="006C66C6" w:rsidP="00723FF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Qualité de l’offre en général (/2)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895DAE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C66C6" w14:paraId="6CB0342D" w14:textId="77777777" w:rsidTr="00723FF1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DE26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5DFC98" w14:textId="77777777" w:rsidR="006C66C6" w:rsidRDefault="006C66C6" w:rsidP="00723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ECE94EA" w14:textId="054A0CF7" w:rsidR="006C66C6" w:rsidRPr="00443B74" w:rsidRDefault="009B7D59" w:rsidP="006C66C6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Advenant égalité, l</w:t>
      </w:r>
      <w:r w:rsidR="006C66C6" w:rsidRPr="005A3D42">
        <w:rPr>
          <w:rFonts w:ascii="Arial" w:hAnsi="Arial" w:cs="Arial"/>
          <w:sz w:val="20"/>
          <w:szCs w:val="20"/>
        </w:rPr>
        <w:t xml:space="preserve">a municipalité devra </w:t>
      </w:r>
      <w:r>
        <w:rPr>
          <w:rFonts w:ascii="Arial" w:hAnsi="Arial" w:cs="Arial"/>
          <w:sz w:val="20"/>
          <w:szCs w:val="20"/>
        </w:rPr>
        <w:t>indiquer</w:t>
      </w:r>
      <w:r w:rsidRPr="005A3D42">
        <w:rPr>
          <w:rFonts w:ascii="Arial" w:hAnsi="Arial" w:cs="Arial"/>
          <w:sz w:val="20"/>
          <w:szCs w:val="20"/>
        </w:rPr>
        <w:t xml:space="preserve"> </w:t>
      </w:r>
      <w:r w:rsidR="006C66C6" w:rsidRPr="005A3D42">
        <w:rPr>
          <w:rFonts w:ascii="Arial" w:hAnsi="Arial" w:cs="Arial"/>
          <w:sz w:val="20"/>
          <w:szCs w:val="20"/>
        </w:rPr>
        <w:t>dans l’appel d’offre</w:t>
      </w:r>
      <w:r>
        <w:rPr>
          <w:rFonts w:ascii="Arial" w:hAnsi="Arial" w:cs="Arial"/>
          <w:sz w:val="20"/>
          <w:szCs w:val="20"/>
        </w:rPr>
        <w:t>s</w:t>
      </w:r>
      <w:r w:rsidR="006C66C6" w:rsidRPr="005A3D42">
        <w:rPr>
          <w:rFonts w:ascii="Arial" w:hAnsi="Arial" w:cs="Arial"/>
          <w:sz w:val="20"/>
          <w:szCs w:val="20"/>
        </w:rPr>
        <w:t xml:space="preserve"> de quelle manière le choix final sera effectué. Ce choix pourra</w:t>
      </w:r>
      <w:r>
        <w:rPr>
          <w:rFonts w:ascii="Arial" w:hAnsi="Arial" w:cs="Arial"/>
          <w:sz w:val="20"/>
          <w:szCs w:val="20"/>
        </w:rPr>
        <w:t>it</w:t>
      </w:r>
      <w:r w:rsidR="006C66C6" w:rsidRPr="005A3D42">
        <w:rPr>
          <w:rFonts w:ascii="Arial" w:hAnsi="Arial" w:cs="Arial"/>
          <w:sz w:val="20"/>
          <w:szCs w:val="20"/>
        </w:rPr>
        <w:t xml:space="preserve"> être fait </w:t>
      </w:r>
      <w:r>
        <w:rPr>
          <w:rFonts w:ascii="Arial" w:hAnsi="Arial" w:cs="Arial"/>
          <w:sz w:val="20"/>
          <w:szCs w:val="20"/>
        </w:rPr>
        <w:t>par</w:t>
      </w:r>
      <w:r w:rsidR="006C66C6" w:rsidRPr="005A3D42">
        <w:rPr>
          <w:rFonts w:ascii="Arial" w:hAnsi="Arial" w:cs="Arial"/>
          <w:sz w:val="20"/>
          <w:szCs w:val="20"/>
        </w:rPr>
        <w:t xml:space="preserve"> tirage au sort en présence des </w:t>
      </w:r>
      <w:r>
        <w:rPr>
          <w:rFonts w:ascii="Arial" w:hAnsi="Arial" w:cs="Arial"/>
          <w:sz w:val="20"/>
          <w:szCs w:val="20"/>
        </w:rPr>
        <w:t>deux</w:t>
      </w:r>
      <w:r w:rsidR="006C66C6" w:rsidRPr="005A3D42">
        <w:rPr>
          <w:rFonts w:ascii="Arial" w:hAnsi="Arial" w:cs="Arial"/>
          <w:sz w:val="20"/>
          <w:szCs w:val="20"/>
        </w:rPr>
        <w:t xml:space="preserve"> soumissionnaires à égalité.</w:t>
      </w:r>
    </w:p>
    <w:p w14:paraId="1633A482" w14:textId="77777777" w:rsidR="006C66C6" w:rsidRDefault="006C66C6" w:rsidP="006C66C6"/>
    <w:p w14:paraId="07680C50" w14:textId="77777777" w:rsidR="006C66C6" w:rsidRDefault="006C66C6" w:rsidP="002524B7">
      <w:pPr>
        <w:jc w:val="center"/>
        <w:rPr>
          <w:rFonts w:ascii="Arial" w:hAnsi="Arial" w:cs="Arial"/>
          <w:b/>
          <w:sz w:val="24"/>
          <w:szCs w:val="24"/>
        </w:rPr>
      </w:pPr>
    </w:p>
    <w:p w14:paraId="55E0ECC5" w14:textId="04E003B3" w:rsidR="002524B7" w:rsidRDefault="00E02817" w:rsidP="002524B7">
      <w:pPr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Sous-</w:t>
      </w:r>
      <w:r w:rsidR="009B7D59">
        <w:rPr>
          <w:rFonts w:ascii="Arial" w:hAnsi="Arial" w:cs="Arial"/>
          <w:b/>
          <w:sz w:val="24"/>
          <w:szCs w:val="24"/>
        </w:rPr>
        <w:t>g</w:t>
      </w:r>
      <w:r w:rsidR="002524B7" w:rsidRPr="00AF0419">
        <w:rPr>
          <w:rFonts w:ascii="Arial" w:hAnsi="Arial" w:cs="Arial"/>
          <w:b/>
          <w:sz w:val="24"/>
          <w:szCs w:val="24"/>
        </w:rPr>
        <w:t>rille d’évaluation des soumissions</w:t>
      </w:r>
    </w:p>
    <w:tbl>
      <w:tblPr>
        <w:tblW w:w="1083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  <w:gridCol w:w="1509"/>
      </w:tblGrid>
      <w:tr w:rsidR="002524B7" w14:paraId="3FBC5CF6" w14:textId="77777777" w:rsidTr="00D538CC">
        <w:trPr>
          <w:trHeight w:val="521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69696" w:fill="auto"/>
          </w:tcPr>
          <w:p w14:paraId="30E82D9D" w14:textId="77777777" w:rsidR="002524B7" w:rsidRDefault="002524B7" w:rsidP="00D538CC">
            <w:pPr>
              <w:tabs>
                <w:tab w:val="left" w:pos="5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Critères de sélection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14:paraId="562AB707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Pointage</w:t>
            </w:r>
          </w:p>
        </w:tc>
      </w:tr>
      <w:tr w:rsidR="002524B7" w14:paraId="7A7C9AEF" w14:textId="77777777" w:rsidTr="00D538CC">
        <w:trPr>
          <w:trHeight w:val="1234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4725E8" w14:textId="560635C2" w:rsidR="002524B7" w:rsidRPr="00BC33BD" w:rsidRDefault="0054411C" w:rsidP="002524B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Expertise</w:t>
            </w:r>
            <w:r w:rsidRPr="00BC33BD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524B7" w:rsidRPr="00BC33BD">
              <w:rPr>
                <w:rFonts w:ascii="Calibri" w:hAnsi="Calibri" w:cs="Calibri"/>
                <w:b/>
                <w:bCs/>
                <w:color w:val="000000"/>
              </w:rPr>
              <w:t>du soumissionnaire</w:t>
            </w:r>
          </w:p>
          <w:p w14:paraId="1C248749" w14:textId="747AC09A" w:rsidR="002524B7" w:rsidRDefault="009B7D59" w:rsidP="005A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À</w:t>
            </w:r>
            <w:r w:rsid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partir des historiques d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="002524B7">
              <w:rPr>
                <w:rFonts w:ascii="Calibri" w:hAnsi="Calibri" w:cs="Calibri"/>
                <w:color w:val="000000"/>
                <w:sz w:val="20"/>
                <w:szCs w:val="20"/>
              </w:rPr>
              <w:t>évaluation de rendement 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’un</w:t>
            </w:r>
            <w:r w:rsid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achat antérieur ou de la liste fournie par le soumissionnaire indiquant </w:t>
            </w:r>
            <w:r w:rsidRPr="00E44019">
              <w:rPr>
                <w:rFonts w:ascii="Calibri" w:hAnsi="Calibri" w:cs="Calibri"/>
                <w:color w:val="000000"/>
                <w:sz w:val="20"/>
                <w:szCs w:val="20"/>
              </w:rPr>
              <w:t>au minimum trois</w:t>
            </w:r>
            <w:r w:rsidR="002524B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références pour des projets comparables</w:t>
            </w:r>
            <w:r w:rsidR="005A3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similaires</w:t>
            </w:r>
            <w:r w:rsidR="002524B7">
              <w:rPr>
                <w:rFonts w:ascii="Calibri" w:hAnsi="Calibri" w:cs="Calibri"/>
                <w:color w:val="000000"/>
                <w:sz w:val="20"/>
                <w:szCs w:val="20"/>
              </w:rPr>
              <w:t>, la municipalité devra récupérer les éléments ci-dessous afin de noter les compétences du soumissionnaire</w:t>
            </w:r>
            <w:r w:rsidR="00871D8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5A3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Dans le cas d’un nouveau soumissionnaire, celui-ci est invité à déposer tout projet similaire, comparable ou en provenance d’un autre domaine d’expertise permettant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d’évaluer</w:t>
            </w:r>
            <w:r w:rsidR="005A3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 compétence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1C85F546" w14:textId="35CB9835" w:rsidR="000D505A" w:rsidRDefault="009B7D59" w:rsidP="000D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D50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Réalisation partiellement comparable (1/2)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D505A">
              <w:rPr>
                <w:rFonts w:ascii="Calibri" w:hAnsi="Calibri" w:cs="Calibri"/>
                <w:color w:val="000000"/>
                <w:sz w:val="20"/>
                <w:szCs w:val="20"/>
              </w:rPr>
              <w:t>Réalisation comparable en termes de complexité,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</w:t>
            </w:r>
            <w:r w:rsidR="000D505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d’envergure (2/2)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D505A">
              <w:rPr>
                <w:rFonts w:ascii="Calibri" w:hAnsi="Calibri" w:cs="Calibri"/>
                <w:color w:val="000000"/>
                <w:sz w:val="20"/>
                <w:szCs w:val="20"/>
              </w:rPr>
              <w:t>Réalisation de nature non comparable (0/2</w:t>
            </w:r>
            <w:r w:rsidR="00005BF3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1F368D" w14:textId="7D9FEBF6" w:rsidR="002524B7" w:rsidRDefault="005A3D42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524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524B7" w14:paraId="2F52960A" w14:textId="77777777" w:rsidTr="00D538CC">
        <w:trPr>
          <w:trHeight w:val="305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BD9CB5" w14:textId="77777777" w:rsidR="009B7D59" w:rsidRDefault="009B7D59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819DBD" w14:textId="3E7BF0AA" w:rsidR="009B7D59" w:rsidRDefault="00407310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Réalisation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2524B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 échéances</w:t>
            </w:r>
            <w:r w:rsidR="000D505A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du budget</w:t>
            </w:r>
            <w:r w:rsidR="002524B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524B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/2)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A08A6AC" w14:textId="1FBD129B" w:rsidR="009B7D59" w:rsidRDefault="00407310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Réalisation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 échéances</w:t>
            </w:r>
            <w:r w:rsidR="000D505A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du budget 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(2/2) </w:t>
            </w:r>
          </w:p>
          <w:p w14:paraId="7F9E26DF" w14:textId="06FA8FD1" w:rsidR="002524B7" w:rsidRPr="00005BF3" w:rsidRDefault="004A46CF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Dépassement des délais </w:t>
            </w:r>
            <w:r w:rsidR="000D505A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 du budget 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(0/2)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4641AE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2153A031" w14:textId="77777777" w:rsidTr="00D538CC">
        <w:trPr>
          <w:trHeight w:val="319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52D1C8" w14:textId="7A97EA75" w:rsidR="002524B7" w:rsidRPr="00005BF3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69876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252C6F23" w14:textId="77777777" w:rsidTr="00D538CC">
        <w:trPr>
          <w:trHeight w:val="348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F2630F" w14:textId="0EA22A1F" w:rsidR="009B7D59" w:rsidRDefault="008E5D42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Peu d’expérience</w:t>
            </w:r>
            <w:r w:rsidR="002524B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524B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/2)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B5FE53C" w14:textId="6B83E7C3" w:rsidR="009B7D59" w:rsidRDefault="00BA11FD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Expériences pertinente</w:t>
            </w:r>
            <w:r w:rsidR="008E5D42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lié</w:t>
            </w:r>
            <w:r w:rsidR="008E5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 à la réalisation du présent projet 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(2/2) </w:t>
            </w:r>
          </w:p>
          <w:p w14:paraId="2035298E" w14:textId="3C8C0651" w:rsidR="002524B7" w:rsidRPr="00005BF3" w:rsidRDefault="004A46CF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Aucune </w:t>
            </w:r>
            <w:r w:rsidR="0040498B">
              <w:rPr>
                <w:rFonts w:ascii="Calibri" w:hAnsi="Calibri" w:cs="Calibri"/>
                <w:color w:val="000000"/>
                <w:sz w:val="20"/>
                <w:szCs w:val="20"/>
              </w:rPr>
              <w:t>expérience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7F771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2A6F26E3" w14:textId="77777777" w:rsidTr="00D538CC">
        <w:trPr>
          <w:trHeight w:val="348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DA3C4A" w14:textId="77777777" w:rsidR="00380DFE" w:rsidRDefault="00380DFE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C958611" w14:textId="27DAF379" w:rsidR="00380DFE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Installation selon les instructions du fabricant (si applicable) (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/2)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8402D93" w14:textId="77777777" w:rsidR="00380DFE" w:rsidRDefault="004A46CF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Installation remarquable (2/2) </w:t>
            </w:r>
          </w:p>
          <w:p w14:paraId="34B05753" w14:textId="4B6EA43F" w:rsidR="002524B7" w:rsidRPr="00005BF3" w:rsidRDefault="004A46CF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Vi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défaut</w:t>
            </w:r>
            <w:r w:rsidR="00380DFE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d’installation (0/2)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12DB2C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6E9BA89D" w14:textId="77777777" w:rsidTr="00D538CC">
        <w:trPr>
          <w:trHeight w:val="348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8E97E6" w14:textId="77777777" w:rsidR="00380DFE" w:rsidRDefault="00380DFE" w:rsidP="000D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9754D6" w14:textId="77777777" w:rsidR="00380DFE" w:rsidRDefault="002524B7" w:rsidP="000D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Service après-vente et pièces de remplacement (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/2)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309A864" w14:textId="08413F73" w:rsidR="00380DFE" w:rsidRDefault="004A46CF" w:rsidP="000D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Délai </w:t>
            </w:r>
            <w:r w:rsidR="000E53FE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garanti 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de service</w:t>
            </w:r>
            <w:r w:rsidR="000E53FE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rapide (2/2) </w:t>
            </w:r>
          </w:p>
          <w:p w14:paraId="0533AEB5" w14:textId="0F7B4A49" w:rsidR="002524B7" w:rsidRPr="00005BF3" w:rsidRDefault="00380DFE" w:rsidP="000D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ervice après-vente</w:t>
            </w:r>
            <w:r w:rsidR="000D505A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non offert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D505A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ou pas intéressant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C1F9DF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18881E39" w14:textId="77777777" w:rsidTr="00D538CC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4A08F9C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Garantie et qualité des produits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B2482F" w14:textId="08FD6F35" w:rsidR="002524B7" w:rsidRDefault="005A3D42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524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524B7" w14:paraId="0E337ECB" w14:textId="77777777" w:rsidTr="00D538CC">
        <w:trPr>
          <w:trHeight w:val="506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32A6" w14:textId="4AC4A774" w:rsidR="00380DFE" w:rsidRDefault="002524B7" w:rsidP="00C3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Garanties des matériaux composant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équipement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métaux, revêtement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quincaillerie, plastique, bois, 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cha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î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nes, 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câbles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, ressorts, pièces mobiles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, composantes électroniques, revêtement de surface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, incluant garantie UV (cf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uide d’achat)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—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Pointage de 0 à 15 </w:t>
            </w:r>
          </w:p>
          <w:p w14:paraId="0FD2A200" w14:textId="77777777" w:rsidR="00380DFE" w:rsidRDefault="00380DFE" w:rsidP="00C3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2F281E" w14:textId="7CF8C587" w:rsidR="00380DFE" w:rsidRDefault="00380DFE" w:rsidP="00C3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aranties supérieures aux garanties demandées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(15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/15) </w:t>
            </w:r>
          </w:p>
          <w:p w14:paraId="1BCDA9C6" w14:textId="26109CD8" w:rsidR="00380DFE" w:rsidRDefault="00380DFE" w:rsidP="00C3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aranties correspondant à la moyenne fixée 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/15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  <w:p w14:paraId="38FC40F5" w14:textId="665DCCA1" w:rsidR="002524B7" w:rsidRPr="00005BF3" w:rsidRDefault="00380DFE" w:rsidP="00C3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aranties </w:t>
            </w:r>
            <w:r w:rsidR="00E0248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en dessous des garanties demandées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(0/15)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54BF16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69B25496" w14:textId="77777777" w:rsidTr="00D538CC">
        <w:trPr>
          <w:trHeight w:val="566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95A35D" w14:textId="77777777" w:rsidR="00380DFE" w:rsidRDefault="00380DFE" w:rsidP="001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6A984B8" w14:textId="17EF3307" w:rsidR="00380DFE" w:rsidRDefault="002524B7" w:rsidP="001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Garantie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 pièces de rechange </w:t>
            </w:r>
            <w:r w:rsidR="00B15D5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équivalentes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— P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ointage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="00380DFE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à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 </w:t>
            </w:r>
          </w:p>
          <w:p w14:paraId="600474F6" w14:textId="77777777" w:rsidR="00380DFE" w:rsidRDefault="00380DFE" w:rsidP="001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4041EC0" w14:textId="2B31B5B5" w:rsidR="00380DFE" w:rsidRDefault="00380DFE" w:rsidP="001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146F6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arantie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 </w:t>
            </w:r>
            <w:r w:rsidR="005F670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supérieur</w:t>
            </w:r>
            <w:r w:rsidR="00AD4BD9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5F670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aux</w:t>
            </w:r>
            <w:r w:rsidR="00146F6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garantie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5F670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demandé</w:t>
            </w:r>
            <w:r w:rsidR="00146F6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5F670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(3/3)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7D71539" w14:textId="279D9A54" w:rsidR="00380DFE" w:rsidRDefault="00380DFE" w:rsidP="001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5F670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arantie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5F6703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correspondant à la moyenne fixée 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D24112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397ABD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  <w:p w14:paraId="6893F661" w14:textId="146DF9FC" w:rsidR="002524B7" w:rsidRPr="00005BF3" w:rsidRDefault="00380DFE" w:rsidP="001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397ABD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arantie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0248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en dessous des</w:t>
            </w:r>
            <w:r w:rsidR="00610268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3587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moyennes</w:t>
            </w:r>
            <w:r w:rsidR="00E02487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97ABD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fixées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(0/3)</w:t>
            </w:r>
          </w:p>
        </w:tc>
        <w:tc>
          <w:tcPr>
            <w:tcW w:w="1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5FCFC4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53D4E059" w14:textId="77777777" w:rsidTr="00D538CC">
        <w:trPr>
          <w:trHeight w:val="535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2A6D88" w14:textId="77777777" w:rsidR="00380DFE" w:rsidRDefault="00380DFE" w:rsidP="009D30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508E56" w14:textId="46520F0F" w:rsidR="00380DFE" w:rsidRDefault="002524B7" w:rsidP="009D30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Certification environnementale ou de qualité (ex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="009D307B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certification</w:t>
            </w: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pour matériaux recyclés, pour emballage et envoi, FCS pour bois, développement durable)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—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Pointage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="00380DFE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à</w:t>
            </w:r>
            <w:r w:rsidR="00E61D56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 </w:t>
            </w:r>
          </w:p>
          <w:p w14:paraId="2F1AD184" w14:textId="77777777" w:rsidR="00380DFE" w:rsidRDefault="00380DFE" w:rsidP="009D30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8F32B8" w14:textId="77777777" w:rsidR="00380DFE" w:rsidRDefault="00E61D56" w:rsidP="009D30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Certification</w:t>
            </w:r>
            <w:r w:rsidR="004A46CF" w:rsidRPr="00005B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ISO ou équivalente (2/2)</w:t>
            </w:r>
          </w:p>
          <w:p w14:paraId="7B5FCC7F" w14:textId="55189966" w:rsidR="00380DFE" w:rsidRDefault="004A46CF" w:rsidP="009D30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Efforts démontrés pour le développement durable (1/2)</w:t>
            </w:r>
          </w:p>
          <w:p w14:paraId="7963FC25" w14:textId="2BC1CDED" w:rsidR="002524B7" w:rsidRPr="00005BF3" w:rsidRDefault="004A46CF" w:rsidP="009D30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BF3">
              <w:rPr>
                <w:rFonts w:ascii="Calibri" w:hAnsi="Calibri" w:cs="Calibri"/>
                <w:color w:val="000000"/>
                <w:sz w:val="20"/>
                <w:szCs w:val="20"/>
              </w:rPr>
              <w:t>Aucune preuve (0/2)</w:t>
            </w:r>
          </w:p>
        </w:tc>
        <w:tc>
          <w:tcPr>
            <w:tcW w:w="15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CD08BD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24B7" w14:paraId="5F6094F9" w14:textId="77777777" w:rsidTr="00D538CC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AF9E2F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>
              <w:rPr>
                <w:rFonts w:ascii="Calibri" w:hAnsi="Calibri" w:cs="Calibri"/>
                <w:b/>
                <w:bCs/>
                <w:color w:val="000000"/>
              </w:rPr>
              <w:t>Structures proposées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544178" w14:textId="1BF30F7F" w:rsidR="002524B7" w:rsidRDefault="005A3D42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524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</w:t>
            </w:r>
            <w:r w:rsidR="00982E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ou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/45</w:t>
            </w:r>
            <w:r w:rsidR="009435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**</w:t>
            </w:r>
          </w:p>
        </w:tc>
      </w:tr>
      <w:tr w:rsidR="002524B7" w14:paraId="025F9D3F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6E84E5" w14:textId="5AEF6447" w:rsidR="00813DA5" w:rsidRDefault="002524B7" w:rsidP="0061026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Accessibilité universelle des équipements proposés (si non demandé dans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les 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critères d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’admissi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bilité) 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(cf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380DFE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uide d’achat, tableau indiquant le nombre de composantes au sol exigé 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>en fonction du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nombre de composantes surélevées sur une voie accessible pour 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>que l’équipement soit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conforme à l’annexe H de la norme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Z614 sur les équipements d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>’aires de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jeu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surfaces de protection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  <w:p w14:paraId="5B5AD08A" w14:textId="77777777" w:rsidR="00813DA5" w:rsidRDefault="00813DA5" w:rsidP="0061026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837574" w14:textId="6A80E77F" w:rsidR="00813DA5" w:rsidRDefault="00813DA5" w:rsidP="0061026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ombre de composantes respectées</w:t>
            </w:r>
            <w:r w:rsidR="00E61D56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806E5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(5/5)</w:t>
            </w:r>
          </w:p>
          <w:p w14:paraId="17400261" w14:textId="556E9329" w:rsidR="002524B7" w:rsidRPr="00D5308F" w:rsidRDefault="00813DA5" w:rsidP="00610268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6102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ucune composante</w:t>
            </w:r>
            <w:r w:rsidR="00E806E5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A808A0" w14:textId="0E107C84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/5 ou *</w:t>
            </w:r>
            <w:proofErr w:type="spellStart"/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s.o</w:t>
            </w:r>
            <w:proofErr w:type="spellEnd"/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2524B7" w14:paraId="6541834B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C8E663" w14:textId="298587A8" w:rsidR="00813DA5" w:rsidRDefault="002524B7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Originalité des structures (peut être bonifié si pas de critère d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accessibilité universelle)</w:t>
            </w:r>
            <w:r w:rsidR="00E806E5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908E82E" w14:textId="77777777" w:rsidR="00813DA5" w:rsidRDefault="00813DA5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9157D8" w14:textId="02B1F840" w:rsidR="00813DA5" w:rsidRDefault="00E806E5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Structures </w:t>
            </w:r>
            <w:r w:rsidR="00FB227D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adaptées et originales 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(10/10 ou 5/5</w:t>
            </w:r>
            <w:r w:rsidR="0094358B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4D746CA" w14:textId="77777777" w:rsidR="00813DA5" w:rsidRDefault="00E806E5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Structures </w:t>
            </w:r>
            <w:r w:rsidR="00FB227D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adaptées (5/10</w:t>
            </w:r>
            <w:r w:rsidR="0094358B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2,5/5</w:t>
            </w:r>
            <w:r w:rsidR="00FB227D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94358B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920396D" w14:textId="008D55EB" w:rsidR="002524B7" w:rsidRPr="00D5308F" w:rsidRDefault="00813DA5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94358B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tructures non adapté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94358B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s et non originales (0/10 ou 0/5)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47E5A3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/5 ou */10</w:t>
            </w:r>
          </w:p>
        </w:tc>
      </w:tr>
      <w:tr w:rsidR="002524B7" w14:paraId="0080824B" w14:textId="77777777" w:rsidTr="00D538CC">
        <w:trPr>
          <w:trHeight w:val="552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1D7D6C" w14:textId="631F2213" w:rsidR="00813DA5" w:rsidRDefault="002524B7" w:rsidP="005A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Valeur ludique des composantes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en fonction du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développement global des utilisateurs (cognitif, affectif, social, physique et moteur) (cf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13DA5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uide d’achat)</w:t>
            </w:r>
            <w:r w:rsidR="0066213F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0424A7D" w14:textId="77777777" w:rsidR="00813DA5" w:rsidRDefault="00813DA5" w:rsidP="005A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CCF33DD" w14:textId="7CAC0869" w:rsidR="005A3D42" w:rsidRPr="00D5308F" w:rsidRDefault="00813DA5" w:rsidP="005A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ointage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à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  <w:r w:rsidR="00A16E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20**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pour l’adéquation entre les composantes et accessoires 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requis 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et la soumission reçue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D56AF5D" w14:textId="49900AB9" w:rsidR="002524B7" w:rsidRPr="00D5308F" w:rsidRDefault="005A3D42" w:rsidP="005A3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(0/15</w:t>
            </w:r>
            <w:r w:rsidR="00A16E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0/20**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15/15</w:t>
            </w:r>
            <w:r w:rsidR="00A16E6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20/20**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923178" w14:textId="45630F6A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/15</w:t>
            </w:r>
            <w:r w:rsidR="005A3D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ou /20</w:t>
            </w:r>
          </w:p>
        </w:tc>
      </w:tr>
      <w:tr w:rsidR="002524B7" w14:paraId="6631C43E" w14:textId="77777777" w:rsidTr="00D538CC">
        <w:trPr>
          <w:trHeight w:val="391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67741" w14:textId="13C34F39" w:rsidR="00E0758F" w:rsidRDefault="002524B7" w:rsidP="00CC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Complémentarité de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offre avec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ensemble des équipements du parc et des parcs environnants (parcs environnants si applicable)</w:t>
            </w:r>
            <w:r w:rsidR="0034603A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9434BED" w14:textId="77777777" w:rsidR="00E0758F" w:rsidRDefault="00E0758F" w:rsidP="00CC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207BD65" w14:textId="4012E517" w:rsidR="00E0758F" w:rsidRDefault="0034603A" w:rsidP="00CC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Offre complémentaire (5/5)</w:t>
            </w:r>
          </w:p>
          <w:p w14:paraId="5D13257A" w14:textId="78E0F0D1" w:rsidR="002524B7" w:rsidRPr="00D5308F" w:rsidRDefault="00E0758F" w:rsidP="00CC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Offre non</w:t>
            </w:r>
            <w:r w:rsidR="0034603A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complémentaire (0/5)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9195EF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/5</w:t>
            </w:r>
          </w:p>
        </w:tc>
      </w:tr>
      <w:tr w:rsidR="002524B7" w14:paraId="4ADE01D9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31EE8" w14:textId="77777777" w:rsidR="00E0758F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Respect de la thématique imposée et intégration des composantes au contexte du parc (thématique si applicable)</w:t>
            </w:r>
            <w:r w:rsidR="0034603A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8643F5D" w14:textId="77777777" w:rsidR="00E0758F" w:rsidRDefault="00E0758F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D74882B" w14:textId="6883685A" w:rsidR="00E0758F" w:rsidRDefault="0034603A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Respect et bonne intégration de la thématique imposée (10/10)</w:t>
            </w:r>
          </w:p>
          <w:p w14:paraId="3FF2BE90" w14:textId="14472A3A" w:rsidR="00E0758F" w:rsidRDefault="0034603A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Intégration partielle (5/10)</w:t>
            </w:r>
          </w:p>
          <w:p w14:paraId="1E42773C" w14:textId="092BAB45" w:rsidR="002524B7" w:rsidRPr="00D5308F" w:rsidRDefault="0034603A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Aucune intégration (0/10)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E5042C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</w:t>
            </w:r>
          </w:p>
        </w:tc>
      </w:tr>
      <w:tr w:rsidR="002524B7" w14:paraId="38BC2673" w14:textId="77777777" w:rsidTr="00D538CC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F9B108" w14:textId="2561C09A" w:rsidR="002524B7" w:rsidRDefault="002524B7" w:rsidP="006C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br w:type="page"/>
            </w:r>
            <w:r>
              <w:rPr>
                <w:rFonts w:ascii="Calibri" w:hAnsi="Calibri" w:cs="Calibri"/>
                <w:b/>
                <w:bCs/>
                <w:color w:val="000000"/>
              </w:rPr>
              <w:t>4. Utilisation de l’espace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3095986" w14:textId="77777777" w:rsidR="002524B7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A5DC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524B7" w14:paraId="698FE686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FC527" w14:textId="64D7BBE8" w:rsidR="00E0758F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Respect de l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aire disponible et 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espect des zones de protection et aires de circulation requises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CF3FB46" w14:textId="77777777" w:rsidR="00E0758F" w:rsidRDefault="00E0758F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F207FC6" w14:textId="4350991C" w:rsidR="00E0758F" w:rsidRDefault="004007B2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Respect de l’aire disponible et des aires de circulation (5/5)</w:t>
            </w:r>
          </w:p>
          <w:p w14:paraId="251BC92B" w14:textId="060E9B3F" w:rsidR="002524B7" w:rsidRPr="00D5308F" w:rsidRDefault="002003F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Non-respect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(0/5)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0143B9" w14:textId="77777777" w:rsidR="002524B7" w:rsidRPr="00FB227D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227D">
              <w:rPr>
                <w:rFonts w:ascii="Calibri" w:hAnsi="Calibri" w:cs="Calibri"/>
                <w:color w:val="000000"/>
                <w:sz w:val="20"/>
                <w:szCs w:val="20"/>
              </w:rPr>
              <w:t>/5</w:t>
            </w:r>
          </w:p>
        </w:tc>
      </w:tr>
      <w:tr w:rsidR="002524B7" w14:paraId="31B7744E" w14:textId="77777777" w:rsidTr="00D538CC">
        <w:trPr>
          <w:trHeight w:val="121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96B6D7" w14:textId="3DC5990C" w:rsidR="00E0758F" w:rsidRDefault="002524B7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Utilisation optimale de l’espace (meilleure valeur ludique dans l’espace donné (cf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. Gu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ide d’achat)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1F0E440" w14:textId="77777777" w:rsidR="00E0758F" w:rsidRDefault="00E0758F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A92444E" w14:textId="2B6465A6" w:rsidR="00E0758F" w:rsidRDefault="004007B2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Utilisation optimale démontrée</w:t>
            </w:r>
            <w:r w:rsidR="00E61D56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(5/5)</w:t>
            </w:r>
          </w:p>
          <w:p w14:paraId="508B861C" w14:textId="459C4C93" w:rsidR="002524B7" w:rsidRPr="00D5308F" w:rsidRDefault="004007B2" w:rsidP="00FB22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Aucune optimisation de l’espace (0/5)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A4BB70" w14:textId="77777777" w:rsidR="002524B7" w:rsidRPr="00FB227D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227D">
              <w:rPr>
                <w:rFonts w:ascii="Calibri" w:hAnsi="Calibri" w:cs="Calibri"/>
                <w:color w:val="000000"/>
                <w:sz w:val="20"/>
                <w:szCs w:val="20"/>
              </w:rPr>
              <w:t>/5</w:t>
            </w:r>
          </w:p>
        </w:tc>
      </w:tr>
      <w:tr w:rsidR="002524B7" w14:paraId="78775C28" w14:textId="77777777" w:rsidTr="00D538CC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F5AC26" w14:textId="77777777" w:rsidR="002524B7" w:rsidRPr="00D5308F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5308F">
              <w:rPr>
                <w:rFonts w:ascii="Calibri" w:hAnsi="Calibri" w:cs="Calibri"/>
                <w:b/>
                <w:bCs/>
                <w:color w:val="000000"/>
              </w:rPr>
              <w:t>5.</w:t>
            </w:r>
            <w:r w:rsidRPr="00D5308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Pr="00D5308F">
              <w:rPr>
                <w:rFonts w:ascii="Calibri" w:hAnsi="Calibri" w:cs="Calibri"/>
                <w:b/>
                <w:bCs/>
                <w:color w:val="000000"/>
              </w:rPr>
              <w:t>Clarté et précisions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CDA2984" w14:textId="13FAFDB7" w:rsidR="002524B7" w:rsidRDefault="005A3D42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524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24B7" w14:paraId="5A87120F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175502" w14:textId="183270E2" w:rsidR="002524B7" w:rsidRPr="00D5308F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Précision des documents fournis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: 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ocuments précis, sans erreurs, dans l’ordre (2/2)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24E58D" w14:textId="77777777" w:rsidR="002524B7" w:rsidRPr="00FB227D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227D">
              <w:rPr>
                <w:rFonts w:ascii="Calibri" w:hAnsi="Calibri" w:cs="Calibri"/>
                <w:color w:val="000000"/>
                <w:sz w:val="20"/>
                <w:szCs w:val="20"/>
              </w:rPr>
              <w:t>/2</w:t>
            </w:r>
          </w:p>
        </w:tc>
      </w:tr>
      <w:tr w:rsidR="002524B7" w14:paraId="4DFCE18D" w14:textId="77777777" w:rsidTr="00D538CC">
        <w:trPr>
          <w:trHeight w:val="478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F197C" w14:textId="42EC6C5B" w:rsidR="00E0758F" w:rsidRDefault="002524B7" w:rsidP="00D538C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Clarté des spécifications techniques des structures et des plans ou illustrations fournies à l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’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échelle avec les dimensions spécifiées (cf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point</w:t>
            </w:r>
            <w:r w:rsidR="00D774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Plan et documents à remettre)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E1A1D31" w14:textId="77777777" w:rsidR="00E0758F" w:rsidRDefault="00E0758F" w:rsidP="00D538C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B41965" w14:textId="0C4E4FD8" w:rsidR="00E0758F" w:rsidRDefault="00E0758F" w:rsidP="00D538C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nformations nécessaires à la compréhension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complètes</w:t>
            </w:r>
            <w:r w:rsidR="004007B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(3/3)</w:t>
            </w:r>
          </w:p>
          <w:p w14:paraId="0ACCC05D" w14:textId="1B97D81A" w:rsidR="002524B7" w:rsidRPr="00D5308F" w:rsidRDefault="004007B2" w:rsidP="00D538CC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Informations 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in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complètes (1/3)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FC6D60" w14:textId="77777777" w:rsidR="002524B7" w:rsidRPr="00FB227D" w:rsidRDefault="002524B7" w:rsidP="00D5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227D">
              <w:rPr>
                <w:rFonts w:ascii="Calibri" w:hAnsi="Calibri" w:cs="Calibri"/>
                <w:color w:val="000000"/>
                <w:sz w:val="20"/>
                <w:szCs w:val="20"/>
              </w:rPr>
              <w:t>/3</w:t>
            </w:r>
          </w:p>
        </w:tc>
      </w:tr>
      <w:tr w:rsidR="00BF06E1" w14:paraId="14494A1B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5CACA" w14:textId="77777777" w:rsidR="00BF06E1" w:rsidRPr="00D5308F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5308F">
              <w:rPr>
                <w:rFonts w:ascii="Calibri" w:hAnsi="Calibri" w:cs="Calibri"/>
                <w:b/>
                <w:bCs/>
                <w:color w:val="000000"/>
              </w:rPr>
              <w:t>6. Prix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21AF27" w14:textId="47DF9E88" w:rsidR="00BF06E1" w:rsidRDefault="005A3D42" w:rsidP="00BF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F06E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ou /5</w:t>
            </w:r>
            <w:r w:rsidR="009435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**</w:t>
            </w:r>
          </w:p>
        </w:tc>
      </w:tr>
      <w:tr w:rsidR="00BF06E1" w14:paraId="5270726D" w14:textId="77777777" w:rsidTr="004007B2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56CED" w14:textId="05FC2EAC" w:rsidR="00C01D48" w:rsidRPr="00D5308F" w:rsidRDefault="00E0758F" w:rsidP="009E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 pondération de c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e critère dev</w:t>
            </w:r>
            <w:r w:rsidR="00F877AF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être de </w:t>
            </w:r>
            <w:r w:rsidR="00F877AF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10 ou 5 points sur</w:t>
            </w:r>
            <w:r w:rsidR="00C01D48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l’ensemble de la grille. 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pointage peut être accordé en utilisant le prix maximum (montant budgété) et le prix minimum accepté (prix maximum moins 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%). </w:t>
            </w:r>
            <w:r w:rsidR="00F877AF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Les points peuve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nt</w:t>
            </w:r>
            <w:r w:rsidR="00F877AF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être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accordés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avec 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une marge (ex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 : 1 point ou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½ </w:t>
            </w:r>
            <w:r w:rsidR="005A3D42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point par pourcentage d’écart négatif avec le prix maximum soumis)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AACA69A" w14:textId="2AE47EDF" w:rsidR="00BF06E1" w:rsidRPr="00D5308F" w:rsidRDefault="00BF06E1" w:rsidP="009E59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805603" w14:textId="77777777" w:rsidR="00BF06E1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6E1" w14:paraId="52996FF1" w14:textId="77777777" w:rsidTr="004007B2">
        <w:trPr>
          <w:trHeight w:val="290"/>
        </w:trPr>
        <w:tc>
          <w:tcPr>
            <w:tcW w:w="9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E2A86C" w14:textId="0E6DB640" w:rsidR="00BF06E1" w:rsidRPr="00D5308F" w:rsidRDefault="00C01D48" w:rsidP="00BF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5308F"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BF06E1" w:rsidRPr="00D5308F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BF06E1" w:rsidRPr="00D5308F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 </w:t>
            </w:r>
            <w:r w:rsidR="00BF06E1" w:rsidRPr="00D5308F">
              <w:rPr>
                <w:rFonts w:ascii="Calibri" w:hAnsi="Calibri" w:cs="Calibri"/>
                <w:b/>
                <w:bCs/>
                <w:color w:val="000000"/>
              </w:rPr>
              <w:t>Appréciation générale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64157F" w14:textId="02CCFED9" w:rsidR="00BF06E1" w:rsidRDefault="005A3D42" w:rsidP="00BF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BF06E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F06E1" w14:paraId="47D686FB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8FD30D" w14:textId="369731E9" w:rsidR="00E0758F" w:rsidRDefault="00BF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Équilibre de la qualité des produits dans </w:t>
            </w:r>
            <w:r w:rsidR="00E0758F">
              <w:rPr>
                <w:rFonts w:ascii="Calibri" w:hAnsi="Calibri" w:cs="Calibri"/>
                <w:color w:val="000000"/>
                <w:sz w:val="20"/>
                <w:szCs w:val="20"/>
              </w:rPr>
              <w:t>leur</w:t>
            </w:r>
            <w:r w:rsidR="00E0758F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ensemble </w:t>
            </w:r>
          </w:p>
          <w:p w14:paraId="6F39871B" w14:textId="77777777" w:rsidR="00E0758F" w:rsidRDefault="00E0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7EA8698" w14:textId="6A1B80AD" w:rsidR="00E0758F" w:rsidRDefault="00E0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="0094358B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quilibre des p</w:t>
            </w:r>
            <w:r w:rsidR="00BF06E1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roduits offerts et harmonie de l’offre (3/3)</w:t>
            </w:r>
          </w:p>
          <w:p w14:paraId="63686357" w14:textId="3C245021" w:rsidR="00BF06E1" w:rsidRPr="00D5308F" w:rsidRDefault="00E0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BF06E1"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ucune démonstration d’harmonie ou de cohésion (0/3)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B7E4EF" w14:textId="77777777" w:rsidR="00BF06E1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/3</w:t>
            </w:r>
          </w:p>
        </w:tc>
      </w:tr>
      <w:tr w:rsidR="00BF06E1" w14:paraId="1C874B6E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2510D" w14:textId="77777777" w:rsidR="00E0758F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Qualité de l’offre en général </w:t>
            </w:r>
          </w:p>
          <w:p w14:paraId="38B82CA1" w14:textId="77777777" w:rsidR="00E0758F" w:rsidRDefault="00E0758F" w:rsidP="00BF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052314" w14:textId="5822CF50" w:rsidR="00BF06E1" w:rsidRPr="00D5308F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08F">
              <w:rPr>
                <w:rFonts w:ascii="Calibri" w:hAnsi="Calibri" w:cs="Calibri"/>
                <w:color w:val="000000"/>
                <w:sz w:val="20"/>
                <w:szCs w:val="20"/>
              </w:rPr>
              <w:t>Offre de qualité, incluant tous les documents et informations (2/2)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1F6C37" w14:textId="77777777" w:rsidR="00BF06E1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</w:t>
            </w:r>
          </w:p>
        </w:tc>
      </w:tr>
      <w:tr w:rsidR="00BF06E1" w14:paraId="1B00D7FF" w14:textId="77777777" w:rsidTr="00D538CC">
        <w:trPr>
          <w:trHeight w:val="290"/>
        </w:trPr>
        <w:tc>
          <w:tcPr>
            <w:tcW w:w="9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57F73" w14:textId="77777777" w:rsidR="00BF06E1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D71302" w14:textId="77777777" w:rsidR="00BF06E1" w:rsidRDefault="00BF06E1" w:rsidP="00BF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7A499C1" w14:textId="77777777" w:rsidR="00380DFE" w:rsidRPr="00443B74" w:rsidRDefault="00380DFE" w:rsidP="00380DFE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Advenant égalité, l</w:t>
      </w:r>
      <w:r w:rsidRPr="005A3D42">
        <w:rPr>
          <w:rFonts w:ascii="Arial" w:hAnsi="Arial" w:cs="Arial"/>
          <w:sz w:val="20"/>
          <w:szCs w:val="20"/>
        </w:rPr>
        <w:t xml:space="preserve">a municipalité devra </w:t>
      </w:r>
      <w:r>
        <w:rPr>
          <w:rFonts w:ascii="Arial" w:hAnsi="Arial" w:cs="Arial"/>
          <w:sz w:val="20"/>
          <w:szCs w:val="20"/>
        </w:rPr>
        <w:t>indiquer</w:t>
      </w:r>
      <w:r w:rsidRPr="005A3D42">
        <w:rPr>
          <w:rFonts w:ascii="Arial" w:hAnsi="Arial" w:cs="Arial"/>
          <w:sz w:val="20"/>
          <w:szCs w:val="20"/>
        </w:rPr>
        <w:t xml:space="preserve"> dans l’appel d’offre</w:t>
      </w:r>
      <w:r>
        <w:rPr>
          <w:rFonts w:ascii="Arial" w:hAnsi="Arial" w:cs="Arial"/>
          <w:sz w:val="20"/>
          <w:szCs w:val="20"/>
        </w:rPr>
        <w:t>s</w:t>
      </w:r>
      <w:r w:rsidRPr="005A3D42">
        <w:rPr>
          <w:rFonts w:ascii="Arial" w:hAnsi="Arial" w:cs="Arial"/>
          <w:sz w:val="20"/>
          <w:szCs w:val="20"/>
        </w:rPr>
        <w:t xml:space="preserve"> de quelle manière le choix final sera effectué. Ce choix pourra</w:t>
      </w:r>
      <w:r>
        <w:rPr>
          <w:rFonts w:ascii="Arial" w:hAnsi="Arial" w:cs="Arial"/>
          <w:sz w:val="20"/>
          <w:szCs w:val="20"/>
        </w:rPr>
        <w:t>it</w:t>
      </w:r>
      <w:r w:rsidRPr="005A3D42">
        <w:rPr>
          <w:rFonts w:ascii="Arial" w:hAnsi="Arial" w:cs="Arial"/>
          <w:sz w:val="20"/>
          <w:szCs w:val="20"/>
        </w:rPr>
        <w:t xml:space="preserve"> être fait </w:t>
      </w:r>
      <w:r>
        <w:rPr>
          <w:rFonts w:ascii="Arial" w:hAnsi="Arial" w:cs="Arial"/>
          <w:sz w:val="20"/>
          <w:szCs w:val="20"/>
        </w:rPr>
        <w:t>par</w:t>
      </w:r>
      <w:r w:rsidRPr="005A3D42">
        <w:rPr>
          <w:rFonts w:ascii="Arial" w:hAnsi="Arial" w:cs="Arial"/>
          <w:sz w:val="20"/>
          <w:szCs w:val="20"/>
        </w:rPr>
        <w:t xml:space="preserve"> tirage au sort en présence des </w:t>
      </w:r>
      <w:r>
        <w:rPr>
          <w:rFonts w:ascii="Arial" w:hAnsi="Arial" w:cs="Arial"/>
          <w:sz w:val="20"/>
          <w:szCs w:val="20"/>
        </w:rPr>
        <w:t>deux</w:t>
      </w:r>
      <w:r w:rsidRPr="005A3D42">
        <w:rPr>
          <w:rFonts w:ascii="Arial" w:hAnsi="Arial" w:cs="Arial"/>
          <w:sz w:val="20"/>
          <w:szCs w:val="20"/>
        </w:rPr>
        <w:t xml:space="preserve"> soumissionnaires à égalité.</w:t>
      </w:r>
    </w:p>
    <w:p w14:paraId="5C63FC25" w14:textId="7CBB9695" w:rsidR="005A3D42" w:rsidRPr="00443B74" w:rsidRDefault="005A3D42" w:rsidP="00380DFE">
      <w:pPr>
        <w:ind w:left="284"/>
        <w:rPr>
          <w:rFonts w:ascii="Arial" w:hAnsi="Arial" w:cs="Arial"/>
          <w:sz w:val="20"/>
          <w:szCs w:val="20"/>
        </w:rPr>
      </w:pPr>
    </w:p>
    <w:sectPr w:rsidR="005A3D42" w:rsidRPr="00443B74" w:rsidSect="00B131FD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95D8" w14:textId="77777777" w:rsidR="00912C87" w:rsidRDefault="00912C87">
      <w:pPr>
        <w:spacing w:after="0" w:line="240" w:lineRule="auto"/>
      </w:pPr>
      <w:r>
        <w:separator/>
      </w:r>
    </w:p>
  </w:endnote>
  <w:endnote w:type="continuationSeparator" w:id="0">
    <w:p w14:paraId="081841C6" w14:textId="77777777" w:rsidR="00912C87" w:rsidRDefault="0091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437072"/>
      <w:docPartObj>
        <w:docPartGallery w:val="Page Numbers (Bottom of Page)"/>
        <w:docPartUnique/>
      </w:docPartObj>
    </w:sdtPr>
    <w:sdtEndPr/>
    <w:sdtContent>
      <w:p w14:paraId="5F07C08A" w14:textId="77777777" w:rsidR="00443B74" w:rsidRDefault="00BF06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5A" w:rsidRPr="000D505A">
          <w:rPr>
            <w:noProof/>
            <w:lang w:val="fr-FR"/>
          </w:rPr>
          <w:t>3</w:t>
        </w:r>
        <w:r>
          <w:fldChar w:fldCharType="end"/>
        </w:r>
      </w:p>
    </w:sdtContent>
  </w:sdt>
  <w:p w14:paraId="47725D24" w14:textId="77777777" w:rsidR="00443B74" w:rsidRDefault="004A3A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CD86" w14:textId="77777777" w:rsidR="00912C87" w:rsidRDefault="00912C87">
      <w:pPr>
        <w:spacing w:after="0" w:line="240" w:lineRule="auto"/>
      </w:pPr>
      <w:r>
        <w:separator/>
      </w:r>
    </w:p>
  </w:footnote>
  <w:footnote w:type="continuationSeparator" w:id="0">
    <w:p w14:paraId="3420BA1B" w14:textId="77777777" w:rsidR="00912C87" w:rsidRDefault="0091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286" w14:textId="336030B8" w:rsidR="003B1CE2" w:rsidRDefault="00BF06E1">
    <w:pPr>
      <w:pStyle w:val="En-tte"/>
    </w:pPr>
    <w:r>
      <w:rPr>
        <w:noProof/>
        <w:lang w:eastAsia="fr-CA"/>
      </w:rPr>
      <w:drawing>
        <wp:inline distT="0" distB="0" distL="0" distR="0" wp14:anchorId="7F0649BD" wp14:editId="35F57A4E">
          <wp:extent cx="874471" cy="735123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ojetEsp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544" cy="744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D60"/>
    <w:multiLevelType w:val="hybridMultilevel"/>
    <w:tmpl w:val="320436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020E"/>
    <w:multiLevelType w:val="hybridMultilevel"/>
    <w:tmpl w:val="D4B492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486C"/>
    <w:multiLevelType w:val="hybridMultilevel"/>
    <w:tmpl w:val="DAD0FC1C"/>
    <w:lvl w:ilvl="0" w:tplc="CD4C8C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24A"/>
    <w:multiLevelType w:val="hybridMultilevel"/>
    <w:tmpl w:val="DE12F7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02DD"/>
    <w:multiLevelType w:val="hybridMultilevel"/>
    <w:tmpl w:val="308E18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5D1D"/>
    <w:multiLevelType w:val="hybridMultilevel"/>
    <w:tmpl w:val="DAD0FC1C"/>
    <w:lvl w:ilvl="0" w:tplc="CD4C8C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019A5"/>
    <w:multiLevelType w:val="hybridMultilevel"/>
    <w:tmpl w:val="14B82C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A3909"/>
    <w:multiLevelType w:val="hybridMultilevel"/>
    <w:tmpl w:val="80CC6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C34C0"/>
    <w:multiLevelType w:val="hybridMultilevel"/>
    <w:tmpl w:val="2282217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B7"/>
    <w:rsid w:val="0000367F"/>
    <w:rsid w:val="00005BF3"/>
    <w:rsid w:val="000A0FC3"/>
    <w:rsid w:val="000D505A"/>
    <w:rsid w:val="000E53FE"/>
    <w:rsid w:val="000F6C56"/>
    <w:rsid w:val="00146F63"/>
    <w:rsid w:val="00151A34"/>
    <w:rsid w:val="001664F1"/>
    <w:rsid w:val="001770B5"/>
    <w:rsid w:val="001A403D"/>
    <w:rsid w:val="001A6380"/>
    <w:rsid w:val="001C4105"/>
    <w:rsid w:val="001E16E6"/>
    <w:rsid w:val="002003F7"/>
    <w:rsid w:val="002143A9"/>
    <w:rsid w:val="002434B1"/>
    <w:rsid w:val="002524B7"/>
    <w:rsid w:val="00291C91"/>
    <w:rsid w:val="002A564F"/>
    <w:rsid w:val="002F55CF"/>
    <w:rsid w:val="00313F90"/>
    <w:rsid w:val="00322D6A"/>
    <w:rsid w:val="0034603A"/>
    <w:rsid w:val="00360CF6"/>
    <w:rsid w:val="00363461"/>
    <w:rsid w:val="00380465"/>
    <w:rsid w:val="00380DFE"/>
    <w:rsid w:val="00397ABD"/>
    <w:rsid w:val="003B5F2E"/>
    <w:rsid w:val="003C0147"/>
    <w:rsid w:val="003C725A"/>
    <w:rsid w:val="003F3838"/>
    <w:rsid w:val="004007B2"/>
    <w:rsid w:val="00403A13"/>
    <w:rsid w:val="0040498B"/>
    <w:rsid w:val="00407310"/>
    <w:rsid w:val="00461CEC"/>
    <w:rsid w:val="004646BA"/>
    <w:rsid w:val="00480826"/>
    <w:rsid w:val="004814C8"/>
    <w:rsid w:val="004819F0"/>
    <w:rsid w:val="004822F4"/>
    <w:rsid w:val="004A3AF8"/>
    <w:rsid w:val="004A46CF"/>
    <w:rsid w:val="0054411C"/>
    <w:rsid w:val="00582767"/>
    <w:rsid w:val="005A3D42"/>
    <w:rsid w:val="005B044A"/>
    <w:rsid w:val="005F6703"/>
    <w:rsid w:val="005F751E"/>
    <w:rsid w:val="00605ADD"/>
    <w:rsid w:val="00610268"/>
    <w:rsid w:val="006272A4"/>
    <w:rsid w:val="006276AD"/>
    <w:rsid w:val="00656C00"/>
    <w:rsid w:val="0066213F"/>
    <w:rsid w:val="006779B0"/>
    <w:rsid w:val="006839A6"/>
    <w:rsid w:val="006C66C6"/>
    <w:rsid w:val="006D599C"/>
    <w:rsid w:val="006F0BE8"/>
    <w:rsid w:val="006F57C1"/>
    <w:rsid w:val="00756909"/>
    <w:rsid w:val="007F59E4"/>
    <w:rsid w:val="00813DA5"/>
    <w:rsid w:val="008718CA"/>
    <w:rsid w:val="00871D8A"/>
    <w:rsid w:val="008E5D42"/>
    <w:rsid w:val="008E74DD"/>
    <w:rsid w:val="00912C87"/>
    <w:rsid w:val="009231EC"/>
    <w:rsid w:val="0094358B"/>
    <w:rsid w:val="00982E5B"/>
    <w:rsid w:val="009B7D59"/>
    <w:rsid w:val="009C3825"/>
    <w:rsid w:val="009D307B"/>
    <w:rsid w:val="009D79E6"/>
    <w:rsid w:val="009E106B"/>
    <w:rsid w:val="009E59B2"/>
    <w:rsid w:val="009F28B0"/>
    <w:rsid w:val="00A1464D"/>
    <w:rsid w:val="00A16E68"/>
    <w:rsid w:val="00A67E67"/>
    <w:rsid w:val="00AB742C"/>
    <w:rsid w:val="00AC396E"/>
    <w:rsid w:val="00AC59AB"/>
    <w:rsid w:val="00AD3A1C"/>
    <w:rsid w:val="00AD4BD9"/>
    <w:rsid w:val="00AE0F9B"/>
    <w:rsid w:val="00AF017A"/>
    <w:rsid w:val="00B10707"/>
    <w:rsid w:val="00B15D58"/>
    <w:rsid w:val="00B4002C"/>
    <w:rsid w:val="00B40F0F"/>
    <w:rsid w:val="00B73DA8"/>
    <w:rsid w:val="00BA11FD"/>
    <w:rsid w:val="00BB1409"/>
    <w:rsid w:val="00BC4D73"/>
    <w:rsid w:val="00BE3D82"/>
    <w:rsid w:val="00BF0377"/>
    <w:rsid w:val="00BF06E1"/>
    <w:rsid w:val="00C01D48"/>
    <w:rsid w:val="00C122E5"/>
    <w:rsid w:val="00C30323"/>
    <w:rsid w:val="00C35877"/>
    <w:rsid w:val="00C4152B"/>
    <w:rsid w:val="00C44D26"/>
    <w:rsid w:val="00CC2281"/>
    <w:rsid w:val="00CD1293"/>
    <w:rsid w:val="00CF5B62"/>
    <w:rsid w:val="00D008E6"/>
    <w:rsid w:val="00D15E21"/>
    <w:rsid w:val="00D24112"/>
    <w:rsid w:val="00D5308F"/>
    <w:rsid w:val="00D774C2"/>
    <w:rsid w:val="00D8604B"/>
    <w:rsid w:val="00DB03ED"/>
    <w:rsid w:val="00E02487"/>
    <w:rsid w:val="00E02817"/>
    <w:rsid w:val="00E07376"/>
    <w:rsid w:val="00E0758F"/>
    <w:rsid w:val="00E44019"/>
    <w:rsid w:val="00E549F3"/>
    <w:rsid w:val="00E61D56"/>
    <w:rsid w:val="00E806E5"/>
    <w:rsid w:val="00E81E3D"/>
    <w:rsid w:val="00E861B1"/>
    <w:rsid w:val="00E94EC7"/>
    <w:rsid w:val="00EB5515"/>
    <w:rsid w:val="00ED0485"/>
    <w:rsid w:val="00F11AE9"/>
    <w:rsid w:val="00F25219"/>
    <w:rsid w:val="00F275CD"/>
    <w:rsid w:val="00F877AF"/>
    <w:rsid w:val="00F9251C"/>
    <w:rsid w:val="00FB1102"/>
    <w:rsid w:val="00FB227D"/>
    <w:rsid w:val="00FD1FB8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C9A06F"/>
  <w15:docId w15:val="{641F17A7-0C7B-4648-9105-C392B45B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4B7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2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24B7"/>
  </w:style>
  <w:style w:type="paragraph" w:styleId="Pieddepage">
    <w:name w:val="footer"/>
    <w:basedOn w:val="Normal"/>
    <w:link w:val="PieddepageCar"/>
    <w:uiPriority w:val="99"/>
    <w:unhideWhenUsed/>
    <w:rsid w:val="00252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E0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81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A56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6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56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6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564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22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20" ma:contentTypeDescription="Crée un document." ma:contentTypeScope="" ma:versionID="efb692779186422aa7fb5788e41899cc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d17006a69324a9864672a010962655c0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74fbdeb-7eb6-4d99-809b-af0265f5b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020098-bb02-4668-a94f-9ccf16f2a27d}" ma:internalName="TaxCatchAll" ma:showField="CatchAllData" ma:web="47bacefa-3efc-42b2-8e08-61b4bf54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3ffb1cb-3ad0-4cbe-a26c-35481943a6d1" xsi:nil="true"/>
    <_Flow_SignoffStatus xmlns="33ffb1cb-3ad0-4cbe-a26c-35481943a6d1" xsi:nil="true"/>
    <lcf76f155ced4ddcb4097134ff3c332f xmlns="33ffb1cb-3ad0-4cbe-a26c-35481943a6d1">
      <Terms xmlns="http://schemas.microsoft.com/office/infopath/2007/PartnerControls"/>
    </lcf76f155ced4ddcb4097134ff3c332f>
    <TaxCatchAll xmlns="47bacefa-3efc-42b2-8e08-61b4bf54d2b6" xsi:nil="true"/>
  </documentManagement>
</p:properties>
</file>

<file path=customXml/itemProps1.xml><?xml version="1.0" encoding="utf-8"?>
<ds:datastoreItem xmlns:ds="http://schemas.openxmlformats.org/officeDocument/2006/customXml" ds:itemID="{211C4392-1B67-4736-8336-3A50C7A9A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65717-B6D7-47C4-A26C-4A808353912C}"/>
</file>

<file path=customXml/itemProps3.xml><?xml version="1.0" encoding="utf-8"?>
<ds:datastoreItem xmlns:ds="http://schemas.openxmlformats.org/officeDocument/2006/customXml" ds:itemID="{CD2D8944-7EB4-41ED-86F1-DEFD15D03CC4}">
  <ds:schemaRefs>
    <ds:schemaRef ds:uri="http://schemas.microsoft.com/office/2006/metadata/properties"/>
    <ds:schemaRef ds:uri="http://schemas.microsoft.com/office/infopath/2007/PartnerControls"/>
    <ds:schemaRef ds:uri="33ffb1cb-3ad0-4cbe-a26c-35481943a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Gatineau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Lessard-Poulin</dc:creator>
  <cp:lastModifiedBy>Hélène Caron</cp:lastModifiedBy>
  <cp:revision>9</cp:revision>
  <cp:lastPrinted>2016-02-17T19:08:00Z</cp:lastPrinted>
  <dcterms:created xsi:type="dcterms:W3CDTF">2022-01-26T14:51:00Z</dcterms:created>
  <dcterms:modified xsi:type="dcterms:W3CDTF">2022-01-26T14:56:00Z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  <property fmtid="{D5CDD505-2E9C-101B-9397-08002B2CF9AE}" pid="3" name="MediaServiceImageTags">
    <vt:lpwstr/>
  </property>
</Properties>
</file>