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13BB" w14:textId="77777777" w:rsidR="006C66C6" w:rsidRDefault="006C66C6" w:rsidP="006C66C6">
      <w:pPr>
        <w:jc w:val="center"/>
      </w:pPr>
      <w:bookmarkStart w:id="0" w:name="_GoBack"/>
      <w:bookmarkEnd w:id="0"/>
      <w:r w:rsidRPr="00AF0419">
        <w:rPr>
          <w:rFonts w:ascii="Arial" w:hAnsi="Arial" w:cs="Arial"/>
          <w:b/>
          <w:sz w:val="24"/>
          <w:szCs w:val="24"/>
        </w:rPr>
        <w:t>Grille d’évaluation des soumissions</w:t>
      </w:r>
    </w:p>
    <w:tbl>
      <w:tblPr>
        <w:tblW w:w="1083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  <w:gridCol w:w="1509"/>
      </w:tblGrid>
      <w:tr w:rsidR="006C66C6" w14:paraId="46B65DC3" w14:textId="77777777" w:rsidTr="00723FF1">
        <w:trPr>
          <w:trHeight w:val="521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33DACF64" w14:textId="77777777" w:rsidR="006C66C6" w:rsidRDefault="006C66C6" w:rsidP="00723FF1">
            <w:pPr>
              <w:tabs>
                <w:tab w:val="left" w:pos="5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Critères de sélection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6C52FCBA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Pointage</w:t>
            </w:r>
          </w:p>
        </w:tc>
      </w:tr>
      <w:tr w:rsidR="006C66C6" w14:paraId="6F63708C" w14:textId="77777777" w:rsidTr="00723FF1">
        <w:trPr>
          <w:trHeight w:val="259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37D4C9" w14:textId="77777777" w:rsidR="006C66C6" w:rsidRPr="00E02817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 </w:t>
            </w:r>
            <w:r w:rsidRPr="002524B7">
              <w:rPr>
                <w:rFonts w:ascii="Calibri" w:hAnsi="Calibri" w:cs="Calibri"/>
                <w:b/>
                <w:bCs/>
                <w:color w:val="000000"/>
              </w:rPr>
              <w:t>Compétences du soumissionnaire</w:t>
            </w:r>
          </w:p>
        </w:tc>
        <w:tc>
          <w:tcPr>
            <w:tcW w:w="1509" w:type="dxa"/>
            <w:tcBorders>
              <w:top w:val="nil"/>
              <w:left w:val="nil"/>
              <w:right w:val="single" w:sz="12" w:space="0" w:color="auto"/>
            </w:tcBorders>
          </w:tcPr>
          <w:p w14:paraId="41EAFFC8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/10</w:t>
            </w:r>
          </w:p>
        </w:tc>
      </w:tr>
      <w:tr w:rsidR="006C66C6" w14:paraId="28EA11B3" w14:textId="77777777" w:rsidTr="00723FF1">
        <w:trPr>
          <w:trHeight w:val="30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1A358" w14:textId="77777777" w:rsidR="006C66C6" w:rsidRPr="002524B7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espect des échéances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4443CD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3C2EFB3C" w14:textId="77777777" w:rsidTr="00723FF1">
        <w:trPr>
          <w:trHeight w:val="319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B5CE2E" w14:textId="77777777" w:rsidR="006C66C6" w:rsidRPr="002524B7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espect du budget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B37F7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528F5403" w14:textId="77777777" w:rsidTr="00723FF1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90D60" w14:textId="77777777" w:rsidR="006C66C6" w:rsidRPr="002524B7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ollaboration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33213F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5634537C" w14:textId="77777777" w:rsidTr="00723FF1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96E708" w14:textId="77777777" w:rsidR="006C66C6" w:rsidRPr="002524B7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Installation selon les instructions du fabricant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A05FB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7B0542BD" w14:textId="77777777" w:rsidTr="00723FF1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3AC11" w14:textId="77777777" w:rsidR="006C66C6" w:rsidRPr="002524B7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Service après-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vente et pièces de remplacement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9CD0DB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53F7C876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3DE3D0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 Garantie et qualité des produits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9073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/20</w:t>
            </w:r>
          </w:p>
        </w:tc>
      </w:tr>
      <w:tr w:rsidR="006C66C6" w14:paraId="31884458" w14:textId="77777777" w:rsidTr="00723FF1">
        <w:trPr>
          <w:trHeight w:val="506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D24922" w14:textId="77777777" w:rsidR="006C66C6" w:rsidRPr="002524B7" w:rsidRDefault="006C66C6" w:rsidP="00723F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Garanties des matériaux composants l'équipement 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métaux, revêtement, quincaillerie, plastique, bois, chaines, câbles, ressorts, pièces mobiles, composantes électroniques, revêtement de surface 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incluant garantie UV (cf guide d’achat)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(/15)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4C7745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4F72C12" w14:textId="77777777" w:rsidTr="00723FF1">
        <w:trPr>
          <w:trHeight w:val="289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B2B93C" w14:textId="77777777" w:rsidR="006C66C6" w:rsidRPr="002524B7" w:rsidRDefault="006C66C6" w:rsidP="00723F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Garantie des pièces de rechange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équivalentes (/3)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7927C3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E8DC07F" w14:textId="77777777" w:rsidTr="00723FF1">
        <w:trPr>
          <w:trHeight w:val="53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28C45" w14:textId="32F1D4CC" w:rsidR="006C66C6" w:rsidRPr="002524B7" w:rsidRDefault="006C66C6" w:rsidP="009D30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Certification environnementale ou de qualité (ex </w:t>
            </w:r>
            <w:r w:rsidR="009D307B"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9D30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certification</w:t>
            </w: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pour matériaux recyclés, pour emballage et envoi, FCS pour bois, empreinte carbone, développement durable, autre...)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(/2)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AC3C2F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280D6A17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1EB7C7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D79E6">
              <w:rPr>
                <w:rFonts w:ascii="Calibri" w:hAnsi="Calibri" w:cs="Calibri"/>
                <w:b/>
                <w:bCs/>
                <w:color w:val="000000"/>
              </w:rPr>
              <w:t>3. Structures proposées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7D4002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D79E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/40 ou /45**</w:t>
            </w:r>
          </w:p>
        </w:tc>
      </w:tr>
      <w:tr w:rsidR="006C66C6" w14:paraId="07173DF7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ABB445" w14:textId="77777777" w:rsidR="006C66C6" w:rsidRPr="009D79E6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9E6">
              <w:rPr>
                <w:rFonts w:ascii="Calibri" w:hAnsi="Calibri" w:cs="Calibri"/>
                <w:color w:val="000000"/>
                <w:sz w:val="20"/>
                <w:szCs w:val="20"/>
              </w:rPr>
              <w:t>Accessibilité universelle des équipements proposés (/5) ou (/0*)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2F9295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69C23AA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B0EC6C" w14:textId="77777777" w:rsidR="006C66C6" w:rsidRPr="009D79E6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9E6">
              <w:rPr>
                <w:rFonts w:ascii="Calibri" w:hAnsi="Calibri" w:cs="Calibri"/>
                <w:color w:val="000000"/>
                <w:sz w:val="20"/>
                <w:szCs w:val="20"/>
              </w:rPr>
              <w:t>Originalité des structures (/5) ou (/10*)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6AADD9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4E50BD2" w14:textId="77777777" w:rsidTr="00723FF1">
        <w:trPr>
          <w:trHeight w:val="16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1115B1" w14:textId="77777777" w:rsidR="006C66C6" w:rsidRPr="009D79E6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79E6">
              <w:rPr>
                <w:rFonts w:ascii="Calibri" w:hAnsi="Calibri" w:cs="Calibri"/>
                <w:color w:val="000000"/>
                <w:sz w:val="20"/>
                <w:szCs w:val="20"/>
              </w:rPr>
              <w:t>Valeur ludique des composantes (cognitif, affectif, social, physique et moteur) (/15) (/20**)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79CE1E" w14:textId="77777777" w:rsidR="006C66C6" w:rsidRPr="009D79E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3C07CECE" w14:textId="77777777" w:rsidTr="00723FF1">
        <w:trPr>
          <w:trHeight w:val="39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035699" w14:textId="77777777" w:rsidR="006C66C6" w:rsidRPr="002524B7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Complémentarité de l'offre avec l'ensemble des équipements du parc et des parcs environnants (parcs environnants si applicable)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1E0739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149960BB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5780D" w14:textId="77777777" w:rsidR="006C66C6" w:rsidRPr="002524B7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24B7">
              <w:rPr>
                <w:rFonts w:ascii="Calibri" w:hAnsi="Calibri" w:cs="Calibri"/>
                <w:color w:val="000000"/>
                <w:sz w:val="20"/>
                <w:szCs w:val="20"/>
              </w:rPr>
              <w:t>Respect de la thématique imposée et intégration des composantes au contexte du parc (thématique si applicable)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(/10)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2B3B94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48B296B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208FBE" w14:textId="77777777" w:rsidR="006C66C6" w:rsidRPr="002524B7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524B7">
              <w:rPr>
                <w:b/>
              </w:rPr>
              <w:br w:type="page"/>
              <w:t xml:space="preserve">4. </w:t>
            </w:r>
            <w:r w:rsidRPr="002524B7">
              <w:rPr>
                <w:rFonts w:ascii="Calibri" w:hAnsi="Calibri" w:cs="Calibri"/>
                <w:b/>
                <w:bCs/>
                <w:color w:val="000000"/>
              </w:rPr>
              <w:t>Utilisation de l’espace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B37538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Pr="006A5DC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66C6" w14:paraId="1E096049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C0D87E" w14:textId="77777777" w:rsidR="006C66C6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Respect de l'aire disponible et Respect des zones de protection et aires de circulation requises (/5)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3E45D3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04AD0B8B" w14:textId="77777777" w:rsidTr="00723FF1">
        <w:trPr>
          <w:trHeight w:val="12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F7F93" w14:textId="77777777" w:rsidR="006C66C6" w:rsidRDefault="006C66C6" w:rsidP="00723F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Utilisation optimale de l’espace (de la meilleure valeur ludique dans l’espace donné) (cf guide d’achat) (/5)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8E06F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42590099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A08B9D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 Clarté et précisions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19081D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/5</w:t>
            </w:r>
          </w:p>
        </w:tc>
      </w:tr>
      <w:tr w:rsidR="006C66C6" w14:paraId="0D19F9CD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78D308" w14:textId="77777777" w:rsidR="006C66C6" w:rsidRPr="00E02817" w:rsidRDefault="006C66C6" w:rsidP="00723F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>Précision des documents fournis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44D7DD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5F3EB6B0" w14:textId="77777777" w:rsidTr="00723FF1">
        <w:trPr>
          <w:trHeight w:val="478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0F002" w14:textId="77777777" w:rsidR="006C66C6" w:rsidRPr="00E02817" w:rsidRDefault="006C66C6" w:rsidP="00723F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2817">
              <w:rPr>
                <w:rFonts w:ascii="Calibri" w:hAnsi="Calibri" w:cs="Calibri"/>
                <w:color w:val="000000"/>
                <w:sz w:val="20"/>
                <w:szCs w:val="20"/>
              </w:rPr>
              <w:t>Clarté des spécifications techniques des structures et des plans ou illustrations fournies à l'échelle avec les dimensions spécifiées (cf point 9. Plan et documents à remettre)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(/3)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5461F5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C66C6" w14:paraId="1123322B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F3711B" w14:textId="77777777" w:rsidR="006C66C6" w:rsidRPr="00E02817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02817">
              <w:rPr>
                <w:rFonts w:ascii="Calibri" w:hAnsi="Calibri" w:cs="Calibri"/>
                <w:b/>
                <w:bCs/>
                <w:color w:val="000000"/>
              </w:rPr>
              <w:t>6. Prix</w:t>
            </w:r>
          </w:p>
        </w:tc>
        <w:tc>
          <w:tcPr>
            <w:tcW w:w="1509" w:type="dxa"/>
            <w:tcBorders>
              <w:top w:val="nil"/>
              <w:left w:val="nil"/>
              <w:right w:val="single" w:sz="12" w:space="0" w:color="auto"/>
            </w:tcBorders>
          </w:tcPr>
          <w:p w14:paraId="2D46D34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Pr="009D79E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 ou /5**</w:t>
            </w:r>
          </w:p>
        </w:tc>
      </w:tr>
      <w:tr w:rsidR="006C66C6" w14:paraId="0160B29E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84F06" w14:textId="77777777" w:rsidR="006C66C6" w:rsidRPr="00E02817" w:rsidRDefault="006C66C6" w:rsidP="00723F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Prix proposé se situant entre le minimum et le maximum défini (/10) ou (/5**)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0C63E3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6C6" w14:paraId="03FB53C9" w14:textId="77777777" w:rsidTr="00723FF1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B0FEE2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 Appréciation générale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2F19B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/5</w:t>
            </w:r>
          </w:p>
        </w:tc>
      </w:tr>
      <w:tr w:rsidR="006C66C6" w14:paraId="567DF493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C9FD9D" w14:textId="77777777" w:rsidR="006C66C6" w:rsidRDefault="006C66C6" w:rsidP="00723F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Équilibre de la qualité des produits dans son ensemble (/3)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1367B1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0BDB9370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C8E3C" w14:textId="77777777" w:rsidR="006C66C6" w:rsidRDefault="006C66C6" w:rsidP="00723FF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Qualité de l’offre en général (/2)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95DAE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C66C6" w14:paraId="6CB0342D" w14:textId="77777777" w:rsidTr="00723FF1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DE26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5DFC98" w14:textId="77777777" w:rsidR="006C66C6" w:rsidRDefault="006C66C6" w:rsidP="0072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3ECE94EA" w14:textId="77777777" w:rsidR="006C66C6" w:rsidRPr="00443B74" w:rsidRDefault="006C66C6" w:rsidP="006C66C6">
      <w:pPr>
        <w:ind w:left="284"/>
        <w:rPr>
          <w:rFonts w:ascii="Arial" w:hAnsi="Arial" w:cs="Arial"/>
          <w:sz w:val="20"/>
          <w:szCs w:val="20"/>
        </w:rPr>
      </w:pPr>
      <w:r w:rsidRPr="005A3D42">
        <w:rPr>
          <w:rFonts w:ascii="Arial" w:hAnsi="Arial" w:cs="Arial"/>
          <w:sz w:val="20"/>
          <w:szCs w:val="20"/>
        </w:rPr>
        <w:t>En cas d’égalité, la municipalité devra signifier dans l’appel d’offre de quelle manière le choix final sera effectué. Ce choix pourra être fait selon un tirage au sort en présence des 2 soumissionnaires à égalité.</w:t>
      </w:r>
    </w:p>
    <w:p w14:paraId="1633A482" w14:textId="77777777" w:rsidR="006C66C6" w:rsidRDefault="006C66C6" w:rsidP="006C66C6"/>
    <w:p w14:paraId="07680C50" w14:textId="77777777" w:rsidR="006C66C6" w:rsidRDefault="006C66C6" w:rsidP="002524B7">
      <w:pPr>
        <w:jc w:val="center"/>
        <w:rPr>
          <w:rFonts w:ascii="Arial" w:hAnsi="Arial" w:cs="Arial"/>
          <w:b/>
          <w:sz w:val="24"/>
          <w:szCs w:val="24"/>
        </w:rPr>
      </w:pPr>
    </w:p>
    <w:p w14:paraId="55E0ECC5" w14:textId="77777777" w:rsidR="002524B7" w:rsidRDefault="00E02817" w:rsidP="002524B7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Sous-</w:t>
      </w:r>
      <w:r w:rsidR="002524B7" w:rsidRPr="00AF0419">
        <w:rPr>
          <w:rFonts w:ascii="Arial" w:hAnsi="Arial" w:cs="Arial"/>
          <w:b/>
          <w:sz w:val="24"/>
          <w:szCs w:val="24"/>
        </w:rPr>
        <w:t>Grille d’évaluation des soumissions</w:t>
      </w:r>
    </w:p>
    <w:tbl>
      <w:tblPr>
        <w:tblW w:w="1083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  <w:gridCol w:w="1509"/>
      </w:tblGrid>
      <w:tr w:rsidR="002524B7" w14:paraId="3FBC5CF6" w14:textId="77777777" w:rsidTr="00D538CC">
        <w:trPr>
          <w:trHeight w:val="521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30E82D9D" w14:textId="77777777" w:rsidR="002524B7" w:rsidRDefault="002524B7" w:rsidP="00D538CC">
            <w:pPr>
              <w:tabs>
                <w:tab w:val="left" w:pos="5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Critères de sélection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562AB707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Pointage</w:t>
            </w:r>
          </w:p>
        </w:tc>
      </w:tr>
      <w:tr w:rsidR="002524B7" w14:paraId="7A7C9AEF" w14:textId="77777777" w:rsidTr="00D538CC">
        <w:trPr>
          <w:trHeight w:val="1234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4725E8" w14:textId="77777777" w:rsidR="002524B7" w:rsidRPr="00BC33BD" w:rsidRDefault="002524B7" w:rsidP="00252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C33BD">
              <w:rPr>
                <w:rFonts w:ascii="Calibri" w:hAnsi="Calibri" w:cs="Calibri"/>
                <w:b/>
                <w:bCs/>
                <w:color w:val="000000"/>
              </w:rPr>
              <w:t>Compétences du soumissionnaire</w:t>
            </w:r>
          </w:p>
          <w:p w14:paraId="1C85F546" w14:textId="3E100E32" w:rsidR="002524B7" w:rsidRDefault="002524B7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partir des historiques d'évaluation de rendement de l'achat antérieur ou de la liste fournie par le soumissionnaire indiquant 3 références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pour des projets comparables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similaires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la municipalité devra récupérer les éléments ci-dessous afin de noter les compétences du soumissionnaire</w:t>
            </w:r>
            <w:r w:rsidR="00871D8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Dans le cas d’un nouveau soumissionnaire, celui-ci est invité à déposer tout projet similaire, comparable ou en provenance d’un autre domaine d’expertise permettant de juger sa compétence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1F368D" w14:textId="7D9FEBF6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524B7" w14:paraId="2F52960A" w14:textId="77777777" w:rsidTr="00D538CC">
        <w:trPr>
          <w:trHeight w:val="30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9E26DF" w14:textId="77777777" w:rsidR="002524B7" w:rsidRPr="00E806E5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</w:pP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Respect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partiel</w:t>
            </w: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des échéances  (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1</w:t>
            </w: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/2)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Respect des échéances (2/2) Dépassement des délais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4641AE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2153A031" w14:textId="77777777" w:rsidTr="00D538CC">
        <w:trPr>
          <w:trHeight w:val="319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52D1C8" w14:textId="77777777" w:rsidR="002524B7" w:rsidRPr="00E806E5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</w:pP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Respect du budget (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1</w:t>
            </w: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/2)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Projet livré en dessous des coûts initiaux (2/2) Dépassement de coûts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469876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252C6F23" w14:textId="77777777" w:rsidTr="00D538CC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35298E" w14:textId="77777777" w:rsidR="002524B7" w:rsidRPr="00E806E5" w:rsidRDefault="004A46CF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</w:pP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Bonne </w:t>
            </w:r>
            <w:r w:rsidR="002524B7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Collaboration (</w:t>
            </w: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1</w:t>
            </w:r>
            <w:r w:rsidR="002524B7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/2)</w:t>
            </w: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Excellente collaboration (implication de partenaires/difficulté) (2/2) Aucune implication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7F771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2A6F26E3" w14:textId="77777777" w:rsidTr="00D538CC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B05753" w14:textId="77777777" w:rsidR="002524B7" w:rsidRPr="00E806E5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</w:pP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Installation selon les instructions du fabricant (si applicable)  (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1</w:t>
            </w: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/2)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Installation remarquable (2/2) Vis ou manquement d’installation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12DB2C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6E9BA89D" w14:textId="77777777" w:rsidTr="00D538CC">
        <w:trPr>
          <w:trHeight w:val="348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33AEB5" w14:textId="1471E319" w:rsidR="002524B7" w:rsidRPr="00E806E5" w:rsidRDefault="002524B7" w:rsidP="0046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</w:pP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Service après-vente et pièces de remplacement (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1</w:t>
            </w:r>
            <w:r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/2)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Délai </w:t>
            </w:r>
            <w:r w:rsidR="000E53FE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garanti et 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observé de service</w:t>
            </w:r>
            <w:r w:rsidR="000E53FE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 :</w:t>
            </w:r>
            <w:r w:rsidR="004A46CF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rapide (2/2) Difficulté observée avec le service après-vente (0/2)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C1F9DF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18881E39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4A08F9C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Garantie et qualité des produits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B2482F" w14:textId="08FD6F35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524B7" w14:paraId="0E337ECB" w14:textId="77777777" w:rsidTr="00D538CC">
        <w:trPr>
          <w:trHeight w:val="506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FC40F5" w14:textId="77777777" w:rsidR="002524B7" w:rsidRDefault="002524B7" w:rsidP="00C3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Garanties des matériaux composants l'équipement : </w:t>
            </w:r>
            <w:r w:rsidR="00E61D56">
              <w:rPr>
                <w:rFonts w:ascii="Calibri" w:hAnsi="Calibri" w:cs="Calibri"/>
                <w:color w:val="000000"/>
                <w:sz w:val="20"/>
                <w:szCs w:val="20"/>
              </w:rPr>
              <w:t>métaux, revêtement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quincaillerie, plastique, bois, </w:t>
            </w:r>
            <w:r w:rsidR="00E61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chaines,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câbles</w:t>
            </w:r>
            <w:r w:rsidR="004A46CF">
              <w:rPr>
                <w:rFonts w:ascii="Calibri" w:hAnsi="Calibri" w:cs="Calibri"/>
                <w:color w:val="000000"/>
                <w:sz w:val="20"/>
                <w:szCs w:val="20"/>
              </w:rPr>
              <w:t>, ressorts, pièces mobiles</w:t>
            </w:r>
            <w:r w:rsidR="00E61D56">
              <w:rPr>
                <w:rFonts w:ascii="Calibri" w:hAnsi="Calibri" w:cs="Calibri"/>
                <w:color w:val="000000"/>
                <w:sz w:val="20"/>
                <w:szCs w:val="20"/>
              </w:rPr>
              <w:t>, composantes électroniques, revêtement de surface</w:t>
            </w:r>
            <w:r w:rsidR="00AD4BD9">
              <w:rPr>
                <w:rFonts w:ascii="Calibri" w:hAnsi="Calibri" w:cs="Calibri"/>
                <w:color w:val="000000"/>
                <w:sz w:val="20"/>
                <w:szCs w:val="20"/>
              </w:rPr>
              <w:t>, incluant garantie UV (cf guide d’achat</w:t>
            </w:r>
            <w:proofErr w:type="gramStart"/>
            <w:r w:rsidR="00AD4B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 w:rsidR="00E61D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4A4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Un </w:t>
            </w:r>
            <w:r w:rsidR="00E61D56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pointage entre 0 et 15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est accordé selon 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l</w:t>
            </w:r>
            <w:r w:rsidR="00C35877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es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AD4BD9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garantie</w:t>
            </w:r>
            <w:r w:rsidR="00C35877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s</w:t>
            </w:r>
            <w:r w:rsidR="00AD4BD9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globale</w:t>
            </w:r>
            <w:r w:rsidR="00C35877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s des matériaux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(15/15</w:t>
            </w:r>
            <w:r w:rsidR="00AD4BD9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) garanties supérieures aux garanties demandées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– </w:t>
            </w:r>
            <w:r w:rsidR="00AD4BD9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(8/15) garanties correspondant à la moyenne fixée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(0/15</w:t>
            </w:r>
            <w:r w:rsidR="00AD4BD9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) garanties </w:t>
            </w:r>
            <w:r w:rsidR="00E02487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en dessous des garanties demandées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54BF16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69B25496" w14:textId="77777777" w:rsidTr="00D538CC">
        <w:trPr>
          <w:trHeight w:val="566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93F661" w14:textId="77777777" w:rsidR="002524B7" w:rsidRDefault="002524B7" w:rsidP="00146F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Garantie des pièces de rechange </w:t>
            </w:r>
            <w:r w:rsidR="00B15D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équivalentes </w:t>
            </w:r>
            <w:r w:rsidR="00E61D56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Un pointage entre 0 et 3 est accordé selon 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la </w:t>
            </w:r>
            <w:r w:rsidR="00E61D56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garantie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(3/3)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146F6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garantie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de pièces de rechange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supérieur</w:t>
            </w:r>
            <w:r w:rsidR="00AD4BD9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e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146F6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à la garantie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demandé</w:t>
            </w:r>
            <w:r w:rsidR="00146F6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e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– </w:t>
            </w:r>
            <w:r w:rsidR="005F6703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(2/3) garantie correspondant à la moyenne fixée 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(0/3</w:t>
            </w:r>
            <w:r w:rsidR="00397ABD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) garanties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E02487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en dessous des</w:t>
            </w:r>
            <w:r w:rsidR="00610268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C35877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moyennes</w:t>
            </w:r>
            <w:r w:rsidR="00E02487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</w:t>
            </w:r>
            <w:r w:rsidR="00397ABD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fixées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5FCFC4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53D4E059" w14:textId="77777777" w:rsidTr="00D538CC">
        <w:trPr>
          <w:trHeight w:val="535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3FC25" w14:textId="0BFF9243" w:rsidR="002524B7" w:rsidRDefault="002524B7" w:rsidP="009D3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Certification environnementale ou de qualité (ex : </w:t>
            </w:r>
            <w:r w:rsidR="009D307B">
              <w:rPr>
                <w:rFonts w:ascii="Calibri" w:hAnsi="Calibri" w:cs="Calibri"/>
                <w:color w:val="000000"/>
                <w:sz w:val="20"/>
                <w:szCs w:val="20"/>
              </w:rPr>
              <w:t>certification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pour matériaux recyclés, pour emballage et envoi, FCS pour bois, développement durable, autre...)</w:t>
            </w:r>
            <w:r w:rsidR="004A46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E61D56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Un pointage entre 0 et 2 est accordé selon les certifications et efforts démontrés : Certification</w:t>
            </w:r>
            <w:r w:rsidR="004A46CF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ISO ou équivalente (2/2), Efforts démontrés pour le développement durable (1/2), Aucune preuve (0/2)</w:t>
            </w: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CD08BD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24B7" w14:paraId="5F6094F9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AF9E2F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Structures proposées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4544178" w14:textId="1BF30F7F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</w:t>
            </w:r>
            <w:r w:rsidR="00982E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ou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/45</w:t>
            </w:r>
            <w:r w:rsidR="009435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2524B7" w14:paraId="025F9D3F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400261" w14:textId="77777777" w:rsidR="002524B7" w:rsidRDefault="002524B7" w:rsidP="0061026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Accessibilité universelle des équipements proposés (si non demandé dans critères d'éligibilité)  </w:t>
            </w:r>
            <w:r w:rsidR="00610268">
              <w:rPr>
                <w:rFonts w:ascii="Calibri" w:hAnsi="Calibri" w:cs="Calibri"/>
                <w:color w:val="000000"/>
                <w:sz w:val="20"/>
                <w:szCs w:val="20"/>
              </w:rPr>
              <w:t>(cf guide d’achat,  tableau indiquant</w:t>
            </w:r>
            <w:r w:rsidR="00610268" w:rsidRPr="00610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le nombre de composantes au sol exigées versus le nombre de composantes surélevées sur une voie accessible pour se dire conforme à l’annexe H de la norme Z614 sur les aires et équipements de jeu.)</w:t>
            </w:r>
            <w:r w:rsidR="00610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E80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0268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nombre de composantes respectées</w:t>
            </w:r>
            <w:r w:rsidR="00E61D56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relatif à l’annexe H</w:t>
            </w:r>
            <w:r w:rsidR="00E806E5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(5/5), </w:t>
            </w:r>
            <w:r w:rsidR="00610268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aucune composante</w:t>
            </w:r>
            <w:r w:rsidR="00E806E5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A808A0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/5 ou *na</w:t>
            </w:r>
          </w:p>
        </w:tc>
      </w:tr>
      <w:tr w:rsidR="002524B7" w14:paraId="6541834B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0396D" w14:textId="3DD0972F" w:rsidR="002524B7" w:rsidRDefault="002524B7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Originalité des structures (peut être bonifié si pas de critère d'accessibilité universelle)</w:t>
            </w:r>
            <w:r w:rsidR="00E806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E806E5" w:rsidRPr="00FB227D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Structures </w:t>
            </w:r>
            <w:r w:rsidR="00FB227D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adaptées et originales </w:t>
            </w:r>
            <w:r w:rsidR="00E806E5" w:rsidRPr="00FB227D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(10/10 ou 5/5</w:t>
            </w:r>
            <w:r w:rsidR="0094358B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)</w:t>
            </w:r>
            <w:r w:rsidR="00E806E5" w:rsidRPr="00E806E5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Structures </w:t>
            </w:r>
            <w:r w:rsidR="00FB227D">
              <w:rPr>
                <w:rFonts w:ascii="Calibri" w:hAnsi="Calibri" w:cs="Calibri"/>
                <w:color w:val="000000"/>
                <w:sz w:val="20"/>
                <w:szCs w:val="20"/>
              </w:rPr>
              <w:t>adaptées (5/10</w:t>
            </w:r>
            <w:r w:rsidR="00943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2,5/5</w:t>
            </w:r>
            <w:r w:rsidR="00FB227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943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structures non adaptés et non originales (0/10 ou 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47E5A3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/5 ou */10</w:t>
            </w:r>
          </w:p>
        </w:tc>
      </w:tr>
      <w:tr w:rsidR="002524B7" w14:paraId="0080824B" w14:textId="77777777" w:rsidTr="00D538CC">
        <w:trPr>
          <w:trHeight w:val="552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CF33DD" w14:textId="39B400D0" w:rsidR="005A3D42" w:rsidRDefault="002524B7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Valeur ludique des composantes = adapté au développement global des utilisateurs (cognitif, affectif, social, physique et moteur)  </w:t>
            </w:r>
            <w:r w:rsidRPr="00BC33BD">
              <w:rPr>
                <w:rFonts w:ascii="Calibri" w:hAnsi="Calibri" w:cs="Calibri"/>
                <w:color w:val="000000"/>
                <w:sz w:val="20"/>
                <w:szCs w:val="20"/>
              </w:rPr>
              <w:t>(cf guide d’achat)</w:t>
            </w:r>
            <w:r w:rsidR="006621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C01D48" w:rsidRPr="00C01D48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Identifier un pointage établi entre 0 et 15</w:t>
            </w:r>
            <w:r w:rsidR="00A16E68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ou 20**</w:t>
            </w:r>
            <w:r w:rsidR="00C01D48" w:rsidRPr="00C01D48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points pour l’adéquation entre les composantes et accessoires demandées par l’utilisation du guide d’achat et la soumission reçue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D56AF5D" w14:textId="49900AB9" w:rsidR="002524B7" w:rsidRDefault="005A3D42" w:rsidP="005A3D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(</w:t>
            </w:r>
            <w:r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0/15</w:t>
            </w:r>
            <w:r w:rsidR="00A16E68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ou 0/20**</w:t>
            </w:r>
            <w:r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à 15/15</w:t>
            </w:r>
            <w:r w:rsidR="00A16E68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ou 20/20**</w:t>
            </w:r>
            <w:r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923178" w14:textId="45630F6A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/15</w:t>
            </w:r>
            <w:r w:rsidR="005A3D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/20</w:t>
            </w:r>
          </w:p>
        </w:tc>
      </w:tr>
      <w:tr w:rsidR="002524B7" w14:paraId="6631C43E" w14:textId="77777777" w:rsidTr="00D538CC">
        <w:trPr>
          <w:trHeight w:val="39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13257A" w14:textId="1326D6E3" w:rsidR="002524B7" w:rsidRDefault="002524B7" w:rsidP="00CC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Complémentarité de l'offre avec l'ensemble des équipements du parc et des parcs environnants (parcs environnants si applicable)</w:t>
            </w:r>
            <w:r w:rsidR="003460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34603A" w:rsidRPr="0034603A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Offre complémentaire sur les composantes et structures (5/5), Aucune dimension complémentaire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9195EF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/5</w:t>
            </w:r>
          </w:p>
        </w:tc>
      </w:tr>
      <w:tr w:rsidR="002524B7" w14:paraId="4ADE01D9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2773C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Respect de la thématique imposée et intégration des composantes au contexte du parc (thématique si applicable)</w:t>
            </w:r>
            <w:r w:rsidR="003460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34603A" w:rsidRPr="0034603A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Respect et bonne intégration de la thématique imposée (10/10), Intégration partielle (5/10), Aucune intégration (0/10)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E5042C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/10</w:t>
            </w:r>
          </w:p>
        </w:tc>
      </w:tr>
      <w:tr w:rsidR="002524B7" w14:paraId="38BC2673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F9B108" w14:textId="2561C09A" w:rsidR="002524B7" w:rsidRDefault="002524B7" w:rsidP="006C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</w:rPr>
              <w:t>4. Utilisation de l’espace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3095986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A5DC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24B7" w14:paraId="698FE686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1BC92B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Respect de l'aire disponible et Respect des zones de protection et aires de circulation requises</w:t>
            </w:r>
            <w:r w:rsidR="004007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4007B2" w:rsidRPr="004007B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Respect de l’aire disponible et des aires de circulation (5/5), </w:t>
            </w:r>
            <w:r w:rsidR="002003F7" w:rsidRPr="004007B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Non-respect</w:t>
            </w:r>
            <w:r w:rsidR="004007B2" w:rsidRPr="004007B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0143B9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/5</w:t>
            </w:r>
          </w:p>
        </w:tc>
      </w:tr>
      <w:tr w:rsidR="002524B7" w14:paraId="31B7744E" w14:textId="77777777" w:rsidTr="00D538CC">
        <w:trPr>
          <w:trHeight w:val="121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8B861C" w14:textId="22A511B1" w:rsidR="002524B7" w:rsidRDefault="002524B7" w:rsidP="00FB2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Utilisation optimale de l’espace (de la meilleure valeur ludique dans l’espace donné (cf guide d’achat)</w:t>
            </w:r>
            <w:r w:rsidR="004007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4007B2" w:rsidRPr="004007B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Utilisation optimale démontrée</w:t>
            </w:r>
            <w:r w:rsidR="00E61D56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à partir des zones</w:t>
            </w:r>
            <w:r w:rsidR="004007B2" w:rsidRPr="004007B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(5/5), Aucune optimisation de l’espace (0/5)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A4BB70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/5</w:t>
            </w:r>
          </w:p>
        </w:tc>
      </w:tr>
      <w:tr w:rsidR="002524B7" w14:paraId="78775C28" w14:textId="77777777" w:rsidTr="00D538CC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F5AC26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</w:rPr>
              <w:t>Clarté et précisions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CDA2984" w14:textId="13FAFDB7" w:rsidR="002524B7" w:rsidRDefault="005A3D42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2524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24B7" w14:paraId="5A87120F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175502" w14:textId="77777777" w:rsidR="002524B7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Précision des documents fournis</w:t>
            </w:r>
            <w:r w:rsidR="004007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4007B2" w:rsidRPr="00F877AF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Documents précis, sans erreurs, dans l’ordre (2/2)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24E58D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/2</w:t>
            </w:r>
          </w:p>
        </w:tc>
      </w:tr>
      <w:tr w:rsidR="002524B7" w14:paraId="4DFCE18D" w14:textId="77777777" w:rsidTr="00D538CC">
        <w:trPr>
          <w:trHeight w:val="478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CC05D" w14:textId="77777777" w:rsidR="002524B7" w:rsidRPr="00BC33BD" w:rsidRDefault="002524B7" w:rsidP="00D538C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33BD">
              <w:rPr>
                <w:rFonts w:ascii="Calibri" w:hAnsi="Calibri" w:cs="Calibri"/>
                <w:color w:val="000000"/>
                <w:sz w:val="20"/>
                <w:szCs w:val="20"/>
              </w:rPr>
              <w:t>Clarté des spécifications techniques des structures et des plans ou illustrations fournies à l'échelle avec les dimensions spécifiées (cf point 9. Plan et documents à remettre)</w:t>
            </w:r>
            <w:r w:rsidR="004007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="004007B2" w:rsidRPr="004007B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Insertion de toutes les informations nécessaires à la compréhension (3/3), Informations fournies complètes en partie (1/3)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FC6D60" w14:textId="77777777" w:rsidR="002524B7" w:rsidRPr="00FB227D" w:rsidRDefault="002524B7" w:rsidP="00D5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227D">
              <w:rPr>
                <w:rFonts w:ascii="Calibri" w:hAnsi="Calibri" w:cs="Calibri"/>
                <w:color w:val="000000"/>
                <w:sz w:val="20"/>
                <w:szCs w:val="20"/>
              </w:rPr>
              <w:t>/3</w:t>
            </w:r>
          </w:p>
        </w:tc>
      </w:tr>
      <w:tr w:rsidR="00BF06E1" w14:paraId="14494A1B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65CACA" w14:textId="77777777" w:rsidR="00BF06E1" w:rsidRPr="00E02817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E02817">
              <w:rPr>
                <w:rFonts w:ascii="Calibri" w:hAnsi="Calibri" w:cs="Calibri"/>
                <w:b/>
                <w:bCs/>
                <w:color w:val="000000"/>
              </w:rPr>
              <w:t>6. Prix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21AF27" w14:textId="47DF9E88" w:rsidR="00BF06E1" w:rsidRDefault="005A3D42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BF06E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ou /5</w:t>
            </w:r>
            <w:r w:rsidR="009435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BF06E1" w14:paraId="5270726D" w14:textId="77777777" w:rsidTr="004007B2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56CED" w14:textId="1025EC8F" w:rsidR="00C01D48" w:rsidRDefault="00C01D48" w:rsidP="009E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Le critère dev</w:t>
            </w:r>
            <w:r w:rsidR="00F877AF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rait avoir une pondération de 10 ou 5 points sur</w:t>
            </w:r>
            <w:r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l’ensemble de la grille. </w:t>
            </w:r>
            <w:r w:rsidR="005A3D42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Le pointage peut être accordé en utilisant le prix maximum (montant budgété) et le prix minimum accepté (prix maximum moins 10%). </w:t>
            </w:r>
            <w:r w:rsidR="00F877AF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Les points peuve</w:t>
            </w:r>
            <w:r w:rsidR="005A3D42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nt</w:t>
            </w:r>
            <w:r w:rsidR="00F877AF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être</w:t>
            </w:r>
            <w:r w:rsidR="005A3D42" w:rsidRPr="005A3D42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 accordés avec l’utilisation d’une marge de prix. (par exemple : 1 point ou un demi-point par pourcentage d’écart négatif avec le prix maximum soumis)</w:t>
            </w:r>
          </w:p>
          <w:p w14:paraId="5AACA69A" w14:textId="2AE47EDF" w:rsidR="00BF06E1" w:rsidRPr="00BF06E1" w:rsidRDefault="00BF06E1" w:rsidP="009E59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805603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06E1" w14:paraId="52996FF1" w14:textId="77777777" w:rsidTr="004007B2">
        <w:trPr>
          <w:trHeight w:val="290"/>
        </w:trPr>
        <w:tc>
          <w:tcPr>
            <w:tcW w:w="9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E2A86C" w14:textId="0E6DB640" w:rsidR="00BF06E1" w:rsidRDefault="00C01D48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BF06E1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BF06E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r w:rsidR="00BF06E1">
              <w:rPr>
                <w:rFonts w:ascii="Calibri" w:hAnsi="Calibri" w:cs="Calibri"/>
                <w:b/>
                <w:bCs/>
                <w:color w:val="000000"/>
              </w:rPr>
              <w:t>Appréciation générale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864157F" w14:textId="02CCFED9" w:rsidR="00BF06E1" w:rsidRDefault="005A3D42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r w:rsidR="00BF06E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06E1" w14:paraId="47D686FB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686357" w14:textId="08301AEE" w:rsidR="00BF06E1" w:rsidRDefault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Équilibre de la qualité des produits dans son ensemble : </w:t>
            </w:r>
            <w:r w:rsidR="0094358B" w:rsidRPr="009D79E6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 xml:space="preserve">équilibre des </w:t>
            </w:r>
            <w:r w:rsidR="0094358B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p</w:t>
            </w:r>
            <w:r w:rsidRPr="00BF06E1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roduits offerts et harmonie de l’offre (3/3), aucune démonstration d’harmonie ou de cohésion (0/3)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B7E4EF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/3</w:t>
            </w:r>
          </w:p>
        </w:tc>
      </w:tr>
      <w:tr w:rsidR="00BF06E1" w14:paraId="1C874B6E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52314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Qualité de l’offre en général : Offre de qualité, </w:t>
            </w:r>
            <w:r w:rsidRPr="00BF06E1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incluant tous les documents et informations (2/2)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1F6C37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/2</w:t>
            </w:r>
          </w:p>
        </w:tc>
      </w:tr>
      <w:tr w:rsidR="00BF06E1" w14:paraId="1B00D7FF" w14:textId="77777777" w:rsidTr="00D538CC">
        <w:trPr>
          <w:trHeight w:val="290"/>
        </w:trPr>
        <w:tc>
          <w:tcPr>
            <w:tcW w:w="9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57F73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D71302" w14:textId="77777777" w:rsidR="00BF06E1" w:rsidRDefault="00BF06E1" w:rsidP="00BF0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5C63FC25" w14:textId="77777777" w:rsidR="005A3D42" w:rsidRPr="00443B74" w:rsidRDefault="005A3D42" w:rsidP="005A3D42">
      <w:pPr>
        <w:ind w:left="284"/>
        <w:rPr>
          <w:rFonts w:ascii="Arial" w:hAnsi="Arial" w:cs="Arial"/>
          <w:sz w:val="20"/>
          <w:szCs w:val="20"/>
        </w:rPr>
      </w:pPr>
      <w:r w:rsidRPr="005A3D42">
        <w:rPr>
          <w:rFonts w:ascii="Arial" w:hAnsi="Arial" w:cs="Arial"/>
          <w:sz w:val="20"/>
          <w:szCs w:val="20"/>
        </w:rPr>
        <w:t>En cas d’égalité, la municipalité devra signifier dans l’appel d’offre de quelle manière le choix final sera effectué. Ce choix pourra être fait selon un tirage au sort en présence des 2 soumissionnaires à égalité.</w:t>
      </w:r>
    </w:p>
    <w:sectPr w:rsidR="005A3D42" w:rsidRPr="00443B74" w:rsidSect="00B131F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85DD" w14:textId="77777777" w:rsidR="00E861B1" w:rsidRDefault="00E861B1">
      <w:pPr>
        <w:spacing w:after="0" w:line="240" w:lineRule="auto"/>
      </w:pPr>
      <w:r>
        <w:separator/>
      </w:r>
    </w:p>
  </w:endnote>
  <w:endnote w:type="continuationSeparator" w:id="0">
    <w:p w14:paraId="152BC82D" w14:textId="77777777" w:rsidR="00E861B1" w:rsidRDefault="00E8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437072"/>
      <w:docPartObj>
        <w:docPartGallery w:val="Page Numbers (Bottom of Page)"/>
        <w:docPartUnique/>
      </w:docPartObj>
    </w:sdtPr>
    <w:sdtEndPr/>
    <w:sdtContent>
      <w:p w14:paraId="5F07C08A" w14:textId="77777777" w:rsidR="00443B74" w:rsidRDefault="00BF06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93" w:rsidRPr="00CD1293">
          <w:rPr>
            <w:noProof/>
            <w:lang w:val="fr-FR"/>
          </w:rPr>
          <w:t>2</w:t>
        </w:r>
        <w:r>
          <w:fldChar w:fldCharType="end"/>
        </w:r>
      </w:p>
    </w:sdtContent>
  </w:sdt>
  <w:p w14:paraId="47725D24" w14:textId="77777777" w:rsidR="00443B74" w:rsidRDefault="00CD12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A4D73" w14:textId="77777777" w:rsidR="00E861B1" w:rsidRDefault="00E861B1">
      <w:pPr>
        <w:spacing w:after="0" w:line="240" w:lineRule="auto"/>
      </w:pPr>
      <w:r>
        <w:separator/>
      </w:r>
    </w:p>
  </w:footnote>
  <w:footnote w:type="continuationSeparator" w:id="0">
    <w:p w14:paraId="13413178" w14:textId="77777777" w:rsidR="00E861B1" w:rsidRDefault="00E8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91286" w14:textId="336030B8" w:rsidR="003B1CE2" w:rsidRDefault="00BF06E1">
    <w:pPr>
      <w:pStyle w:val="Header"/>
    </w:pPr>
    <w:r>
      <w:rPr>
        <w:noProof/>
        <w:lang w:val="en-US"/>
      </w:rPr>
      <w:drawing>
        <wp:inline distT="0" distB="0" distL="0" distR="0" wp14:anchorId="7F0649BD" wp14:editId="35F57A4E">
          <wp:extent cx="874471" cy="735123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jetEspa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544" cy="74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D60"/>
    <w:multiLevelType w:val="hybridMultilevel"/>
    <w:tmpl w:val="320436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020E"/>
    <w:multiLevelType w:val="hybridMultilevel"/>
    <w:tmpl w:val="ECC256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86C"/>
    <w:multiLevelType w:val="hybridMultilevel"/>
    <w:tmpl w:val="DAD0FC1C"/>
    <w:lvl w:ilvl="0" w:tplc="CD4C8C7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02DD"/>
    <w:multiLevelType w:val="hybridMultilevel"/>
    <w:tmpl w:val="308E18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B5D1D"/>
    <w:multiLevelType w:val="hybridMultilevel"/>
    <w:tmpl w:val="DAD0FC1C"/>
    <w:lvl w:ilvl="0" w:tplc="CD4C8C7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A3909"/>
    <w:multiLevelType w:val="hybridMultilevel"/>
    <w:tmpl w:val="80CC6F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C34C0"/>
    <w:multiLevelType w:val="hybridMultilevel"/>
    <w:tmpl w:val="228221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B7"/>
    <w:rsid w:val="0000367F"/>
    <w:rsid w:val="000A0FC3"/>
    <w:rsid w:val="000E53FE"/>
    <w:rsid w:val="000F6C56"/>
    <w:rsid w:val="00146F63"/>
    <w:rsid w:val="00151A34"/>
    <w:rsid w:val="001770B5"/>
    <w:rsid w:val="002003F7"/>
    <w:rsid w:val="002524B7"/>
    <w:rsid w:val="002A564F"/>
    <w:rsid w:val="00313F90"/>
    <w:rsid w:val="00322D6A"/>
    <w:rsid w:val="0034603A"/>
    <w:rsid w:val="00360CF6"/>
    <w:rsid w:val="00363461"/>
    <w:rsid w:val="00380465"/>
    <w:rsid w:val="00397ABD"/>
    <w:rsid w:val="003B5F2E"/>
    <w:rsid w:val="003C0147"/>
    <w:rsid w:val="004007B2"/>
    <w:rsid w:val="004646BA"/>
    <w:rsid w:val="00480826"/>
    <w:rsid w:val="004822F4"/>
    <w:rsid w:val="004A46CF"/>
    <w:rsid w:val="00582767"/>
    <w:rsid w:val="005A3D42"/>
    <w:rsid w:val="005B044A"/>
    <w:rsid w:val="005F6703"/>
    <w:rsid w:val="00605ADD"/>
    <w:rsid w:val="00610268"/>
    <w:rsid w:val="006276AD"/>
    <w:rsid w:val="0066213F"/>
    <w:rsid w:val="006779B0"/>
    <w:rsid w:val="006839A6"/>
    <w:rsid w:val="006C66C6"/>
    <w:rsid w:val="006D599C"/>
    <w:rsid w:val="006F0BE8"/>
    <w:rsid w:val="006F57C1"/>
    <w:rsid w:val="00871D8A"/>
    <w:rsid w:val="008E74DD"/>
    <w:rsid w:val="009231EC"/>
    <w:rsid w:val="0094358B"/>
    <w:rsid w:val="00982E5B"/>
    <w:rsid w:val="009D307B"/>
    <w:rsid w:val="009D79E6"/>
    <w:rsid w:val="009E106B"/>
    <w:rsid w:val="009E59B2"/>
    <w:rsid w:val="009F28B0"/>
    <w:rsid w:val="00A16E68"/>
    <w:rsid w:val="00AC59AB"/>
    <w:rsid w:val="00AD4BD9"/>
    <w:rsid w:val="00AE0F9B"/>
    <w:rsid w:val="00AF017A"/>
    <w:rsid w:val="00B10707"/>
    <w:rsid w:val="00B15D58"/>
    <w:rsid w:val="00BF0377"/>
    <w:rsid w:val="00BF06E1"/>
    <w:rsid w:val="00C01D48"/>
    <w:rsid w:val="00C35877"/>
    <w:rsid w:val="00C44D26"/>
    <w:rsid w:val="00CC2281"/>
    <w:rsid w:val="00CD1293"/>
    <w:rsid w:val="00CF5B62"/>
    <w:rsid w:val="00D8604B"/>
    <w:rsid w:val="00E02487"/>
    <w:rsid w:val="00E02817"/>
    <w:rsid w:val="00E61D56"/>
    <w:rsid w:val="00E806E5"/>
    <w:rsid w:val="00E861B1"/>
    <w:rsid w:val="00ED0485"/>
    <w:rsid w:val="00F11AE9"/>
    <w:rsid w:val="00F877AF"/>
    <w:rsid w:val="00FB1102"/>
    <w:rsid w:val="00FB227D"/>
    <w:rsid w:val="00FD1FB8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C9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4B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B7"/>
  </w:style>
  <w:style w:type="paragraph" w:styleId="Footer">
    <w:name w:val="footer"/>
    <w:basedOn w:val="Normal"/>
    <w:link w:val="FooterChar"/>
    <w:uiPriority w:val="99"/>
    <w:unhideWhenUsed/>
    <w:rsid w:val="0025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B7"/>
  </w:style>
  <w:style w:type="paragraph" w:styleId="BalloonText">
    <w:name w:val="Balloon Text"/>
    <w:basedOn w:val="Normal"/>
    <w:link w:val="BalloonTextChar"/>
    <w:uiPriority w:val="99"/>
    <w:semiHidden/>
    <w:unhideWhenUsed/>
    <w:rsid w:val="00E0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4B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B7"/>
  </w:style>
  <w:style w:type="paragraph" w:styleId="Footer">
    <w:name w:val="footer"/>
    <w:basedOn w:val="Normal"/>
    <w:link w:val="FooterChar"/>
    <w:uiPriority w:val="99"/>
    <w:unhideWhenUsed/>
    <w:rsid w:val="0025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B7"/>
  </w:style>
  <w:style w:type="paragraph" w:styleId="BalloonText">
    <w:name w:val="Balloon Text"/>
    <w:basedOn w:val="Normal"/>
    <w:link w:val="BalloonTextChar"/>
    <w:uiPriority w:val="99"/>
    <w:semiHidden/>
    <w:unhideWhenUsed/>
    <w:rsid w:val="00E0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6842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Lessard-Poulin</dc:creator>
  <cp:lastModifiedBy>Catherine Leclerc</cp:lastModifiedBy>
  <cp:revision>2</cp:revision>
  <cp:lastPrinted>2016-02-17T19:08:00Z</cp:lastPrinted>
  <dcterms:created xsi:type="dcterms:W3CDTF">2018-12-06T21:58:00Z</dcterms:created>
  <dcterms:modified xsi:type="dcterms:W3CDTF">2018-12-06T21:58:00Z</dcterms:modified>
</cp:coreProperties>
</file>